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B5" w:rsidRDefault="00197AB5" w:rsidP="00C57978">
      <w:pPr>
        <w:spacing w:after="360" w:line="720" w:lineRule="atLeast"/>
        <w:jc w:val="both"/>
        <w:outlineLvl w:val="1"/>
        <w:rPr>
          <w:rFonts w:ascii="inherit" w:eastAsia="Times New Roman" w:hAnsi="inherit" w:cs="Helvetica"/>
          <w:color w:val="374248"/>
          <w:sz w:val="48"/>
          <w:szCs w:val="48"/>
          <w:lang w:eastAsia="en-GB"/>
        </w:rPr>
      </w:pPr>
      <w:r w:rsidRPr="00197AB5">
        <w:rPr>
          <w:rFonts w:cs="Helvetica"/>
        </w:rPr>
        <w:t>http://cks.nice.org.uk/anaemia-b12-and-folate-deficiency#!topicsummary</w:t>
      </w:r>
    </w:p>
    <w:p w:rsidR="00197AB5" w:rsidRDefault="00197AB5" w:rsidP="00197AB5">
      <w:pPr>
        <w:spacing w:after="360" w:line="720" w:lineRule="atLeast"/>
        <w:outlineLvl w:val="1"/>
        <w:rPr>
          <w:rFonts w:ascii="inherit" w:eastAsia="Times New Roman" w:hAnsi="inherit" w:cs="Helvetica"/>
          <w:color w:val="374248"/>
          <w:sz w:val="48"/>
          <w:szCs w:val="48"/>
          <w:lang w:eastAsia="en-GB"/>
        </w:rPr>
      </w:pPr>
      <w:r w:rsidRPr="00197AB5">
        <w:rPr>
          <w:rFonts w:ascii="inherit" w:eastAsia="Times New Roman" w:hAnsi="inherit" w:cs="Helvetica"/>
          <w:color w:val="374248"/>
          <w:sz w:val="48"/>
          <w:szCs w:val="48"/>
          <w:lang w:eastAsia="en-GB"/>
        </w:rPr>
        <w:t xml:space="preserve">Anaemia - B12 and folate deficiency    </w:t>
      </w:r>
    </w:p>
    <w:p w:rsidR="00197AB5" w:rsidRPr="00197AB5" w:rsidRDefault="00197AB5" w:rsidP="00197AB5">
      <w:pPr>
        <w:spacing w:after="360" w:line="720" w:lineRule="atLeast"/>
        <w:outlineLvl w:val="1"/>
        <w:rPr>
          <w:rFonts w:ascii="inherit" w:eastAsia="Times New Roman" w:hAnsi="inherit" w:cs="Helvetica"/>
          <w:color w:val="374248"/>
          <w:sz w:val="48"/>
          <w:szCs w:val="48"/>
          <w:lang w:eastAsia="en-GB"/>
        </w:rPr>
      </w:pPr>
      <w:r w:rsidRPr="00197AB5">
        <w:rPr>
          <w:rFonts w:ascii="inherit" w:eastAsia="Times New Roman" w:hAnsi="inherit" w:cs="Helvetica"/>
          <w:color w:val="374248"/>
          <w:sz w:val="48"/>
          <w:szCs w:val="48"/>
          <w:lang w:eastAsia="en-GB"/>
        </w:rPr>
        <w:t>Scenario: Management</w:t>
      </w:r>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Scenario: Management of anaemia - vitamin B12 and folate deficiency</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Age from 16 years onwards</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6"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Assessment</w:t>
      </w:r>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How should I assess a person with vitamin B12 or folate deficiency anaemia?</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Assessment should include determining the underlying cause of </w:t>
      </w:r>
      <w:hyperlink r:id="rId7" w:anchor="!scenariorecommendation:1" w:history="1">
        <w:r w:rsidRPr="00197AB5">
          <w:rPr>
            <w:rFonts w:ascii="Helvetica" w:eastAsia="Times New Roman" w:hAnsi="Helvetica" w:cs="Helvetica"/>
            <w:color w:val="0093DA"/>
            <w:szCs w:val="24"/>
            <w:lang w:eastAsia="en-GB"/>
          </w:rPr>
          <w:t>vitamin B12</w:t>
        </w:r>
      </w:hyperlink>
      <w:r w:rsidRPr="00197AB5">
        <w:rPr>
          <w:rFonts w:ascii="Helvetica" w:eastAsia="Times New Roman" w:hAnsi="Helvetica" w:cs="Helvetica"/>
          <w:color w:val="374248"/>
          <w:szCs w:val="24"/>
          <w:lang w:eastAsia="en-GB"/>
        </w:rPr>
        <w:t xml:space="preserve"> or </w:t>
      </w:r>
      <w:hyperlink r:id="rId8" w:anchor="!scenariorecommendation:2" w:history="1">
        <w:r w:rsidRPr="00197AB5">
          <w:rPr>
            <w:rFonts w:ascii="Helvetica" w:eastAsia="Times New Roman" w:hAnsi="Helvetica" w:cs="Helvetica"/>
            <w:color w:val="0093DA"/>
            <w:szCs w:val="24"/>
            <w:lang w:eastAsia="en-GB"/>
          </w:rPr>
          <w:t>folate</w:t>
        </w:r>
      </w:hyperlink>
      <w:r w:rsidRPr="00197AB5">
        <w:rPr>
          <w:rFonts w:ascii="Helvetica" w:eastAsia="Times New Roman" w:hAnsi="Helvetica" w:cs="Helvetica"/>
          <w:color w:val="374248"/>
          <w:szCs w:val="24"/>
          <w:lang w:eastAsia="en-GB"/>
        </w:rPr>
        <w:t xml:space="preserve"> deficiency.</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9"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Assessing B12 deficiency</w:t>
      </w:r>
    </w:p>
    <w:p w:rsidR="00197AB5" w:rsidRPr="00197AB5" w:rsidRDefault="00197AB5" w:rsidP="00197AB5">
      <w:pPr>
        <w:spacing w:after="0" w:line="360" w:lineRule="atLeast"/>
        <w:outlineLvl w:val="4"/>
        <w:rPr>
          <w:rFonts w:ascii="inherit" w:eastAsia="Times New Roman" w:hAnsi="inherit" w:cs="Helvetica"/>
          <w:color w:val="374248"/>
          <w:szCs w:val="24"/>
          <w:lang w:eastAsia="en-GB"/>
        </w:rPr>
      </w:pPr>
      <w:r w:rsidRPr="00197AB5">
        <w:rPr>
          <w:rFonts w:ascii="inherit" w:eastAsia="Times New Roman" w:hAnsi="inherit" w:cs="Helvetica"/>
          <w:color w:val="374248"/>
          <w:szCs w:val="24"/>
          <w:lang w:eastAsia="en-GB"/>
        </w:rPr>
        <w:t>How should I investigate a person with vitamin B12 deficiency anaemia in primary care?</w:t>
      </w:r>
    </w:p>
    <w:p w:rsidR="00197AB5" w:rsidRPr="00197AB5" w:rsidRDefault="00197AB5" w:rsidP="00197AB5">
      <w:pPr>
        <w:numPr>
          <w:ilvl w:val="0"/>
          <w:numId w:val="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Determine whether there is an underlying </w:t>
      </w:r>
      <w:hyperlink r:id="rId10" w:anchor="!backgroundsub:2" w:history="1">
        <w:r w:rsidRPr="00197AB5">
          <w:rPr>
            <w:rFonts w:ascii="Helvetica" w:eastAsia="Times New Roman" w:hAnsi="Helvetica" w:cs="Helvetica"/>
            <w:color w:val="0093DA"/>
            <w:szCs w:val="24"/>
            <w:lang w:eastAsia="en-GB"/>
          </w:rPr>
          <w:t>cause</w:t>
        </w:r>
      </w:hyperlink>
      <w:r w:rsidRPr="00197AB5">
        <w:rPr>
          <w:rFonts w:ascii="Helvetica" w:eastAsia="Times New Roman" w:hAnsi="Helvetica" w:cs="Helvetica"/>
          <w:color w:val="374248"/>
          <w:szCs w:val="24"/>
          <w:lang w:eastAsia="en-GB"/>
        </w:rPr>
        <w:t xml:space="preserve"> for the serum vitamin B12 deficiency (for example pernicious anaemia), by checking for serum anti-intrinsic factor antibodies.</w:t>
      </w:r>
    </w:p>
    <w:p w:rsidR="00197AB5" w:rsidRPr="00197AB5" w:rsidRDefault="00197AB5" w:rsidP="00197AB5">
      <w:pPr>
        <w:numPr>
          <w:ilvl w:val="1"/>
          <w:numId w:val="1"/>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Note that testing for anti-intrinsic factor antibodies is recommended in people with strong clinical features of B12 deficiency, such as </w:t>
      </w:r>
      <w:proofErr w:type="spellStart"/>
      <w:r w:rsidRPr="00197AB5">
        <w:rPr>
          <w:rFonts w:ascii="Helvetica" w:eastAsia="Times New Roman" w:hAnsi="Helvetica" w:cs="Helvetica"/>
          <w:color w:val="374248"/>
          <w:szCs w:val="24"/>
          <w:lang w:eastAsia="en-GB"/>
        </w:rPr>
        <w:t>megaloblastic</w:t>
      </w:r>
      <w:proofErr w:type="spellEnd"/>
      <w:r w:rsidRPr="00197AB5">
        <w:rPr>
          <w:rFonts w:ascii="Helvetica" w:eastAsia="Times New Roman" w:hAnsi="Helvetica" w:cs="Helvetica"/>
          <w:color w:val="374248"/>
          <w:szCs w:val="24"/>
          <w:lang w:eastAsia="en-GB"/>
        </w:rPr>
        <w:t xml:space="preserve"> anaemia or </w:t>
      </w:r>
      <w:proofErr w:type="spellStart"/>
      <w:r w:rsidRPr="00197AB5">
        <w:rPr>
          <w:rFonts w:ascii="Helvetica" w:eastAsia="Times New Roman" w:hAnsi="Helvetica" w:cs="Helvetica"/>
          <w:color w:val="374248"/>
          <w:szCs w:val="24"/>
          <w:lang w:eastAsia="en-GB"/>
        </w:rPr>
        <w:t>subacute</w:t>
      </w:r>
      <w:proofErr w:type="spellEnd"/>
      <w:r w:rsidRPr="00197AB5">
        <w:rPr>
          <w:rFonts w:ascii="Helvetica" w:eastAsia="Times New Roman" w:hAnsi="Helvetica" w:cs="Helvetica"/>
          <w:color w:val="374248"/>
          <w:szCs w:val="24"/>
          <w:lang w:eastAsia="en-GB"/>
        </w:rPr>
        <w:t xml:space="preserve"> combined degeneration of the cord, despite a normal vitamin B12 level. For more information, see the section on </w:t>
      </w:r>
      <w:hyperlink r:id="rId11" w:anchor="!diagnosisadditional" w:history="1">
        <w:r w:rsidRPr="00197AB5">
          <w:rPr>
            <w:rFonts w:ascii="Helvetica" w:eastAsia="Times New Roman" w:hAnsi="Helvetica" w:cs="Helvetica"/>
            <w:color w:val="0093DA"/>
            <w:szCs w:val="24"/>
            <w:lang w:eastAsia="en-GB"/>
          </w:rPr>
          <w:t>Interpreting results of investigations</w:t>
        </w:r>
      </w:hyperlink>
      <w:r w:rsidRPr="00197AB5">
        <w:rPr>
          <w:rFonts w:ascii="Helvetica" w:eastAsia="Times New Roman" w:hAnsi="Helvetica" w:cs="Helvetica"/>
          <w:color w:val="374248"/>
          <w:szCs w:val="24"/>
          <w:lang w:eastAsia="en-GB"/>
        </w:rPr>
        <w:t>.</w:t>
      </w:r>
    </w:p>
    <w:p w:rsidR="00197AB5" w:rsidRPr="00C57978" w:rsidRDefault="00197AB5" w:rsidP="00197AB5">
      <w:pPr>
        <w:numPr>
          <w:ilvl w:val="1"/>
          <w:numId w:val="1"/>
        </w:numPr>
        <w:spacing w:before="100" w:beforeAutospacing="1" w:after="100" w:afterAutospacing="1" w:line="360" w:lineRule="atLeast"/>
        <w:ind w:left="600"/>
        <w:rPr>
          <w:rFonts w:ascii="Helvetica" w:eastAsia="Times New Roman" w:hAnsi="Helvetica" w:cs="Helvetica"/>
          <w:color w:val="374248"/>
          <w:szCs w:val="24"/>
          <w:lang w:eastAsia="en-GB"/>
        </w:rPr>
      </w:pPr>
      <w:r w:rsidRPr="00C57978">
        <w:rPr>
          <w:rFonts w:ascii="Helvetica" w:eastAsia="Times New Roman" w:hAnsi="Helvetica" w:cs="Helvetica"/>
          <w:color w:val="374248"/>
          <w:szCs w:val="24"/>
          <w:lang w:eastAsia="en-GB"/>
        </w:rPr>
        <w:t>Checking for gastric anti-parietal cell antibodies is no longer recommended to diagnose pernicious anaemia.</w:t>
      </w:r>
    </w:p>
    <w:p w:rsidR="00197AB5" w:rsidRPr="00197AB5" w:rsidRDefault="00197AB5" w:rsidP="00197AB5">
      <w:pPr>
        <w:numPr>
          <w:ilvl w:val="0"/>
          <w:numId w:val="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Determine whether the person has experienced </w:t>
      </w:r>
      <w:hyperlink r:id="rId12" w:anchor="!backgroundsub:6" w:history="1">
        <w:r w:rsidRPr="00197AB5">
          <w:rPr>
            <w:rFonts w:ascii="Helvetica" w:eastAsia="Times New Roman" w:hAnsi="Helvetica" w:cs="Helvetica"/>
            <w:color w:val="0093DA"/>
            <w:szCs w:val="24"/>
            <w:lang w:eastAsia="en-GB"/>
          </w:rPr>
          <w:t>complications</w:t>
        </w:r>
      </w:hyperlink>
      <w:r w:rsidRPr="00197AB5">
        <w:rPr>
          <w:rFonts w:ascii="Helvetica" w:eastAsia="Times New Roman" w:hAnsi="Helvetica" w:cs="Helvetica"/>
          <w:color w:val="374248"/>
          <w:szCs w:val="24"/>
          <w:lang w:eastAsia="en-GB"/>
        </w:rPr>
        <w:t xml:space="preserve"> of anaemia, or of vitamin B12 deficiency.</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13"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0" w:line="360" w:lineRule="atLeast"/>
        <w:outlineLvl w:val="4"/>
        <w:rPr>
          <w:rFonts w:ascii="inherit" w:eastAsia="Times New Roman" w:hAnsi="inherit" w:cs="Helvetica"/>
          <w:color w:val="374248"/>
          <w:szCs w:val="24"/>
          <w:lang w:eastAsia="en-GB"/>
        </w:rPr>
      </w:pPr>
      <w:r w:rsidRPr="00197AB5">
        <w:rPr>
          <w:rFonts w:ascii="inherit" w:eastAsia="Times New Roman" w:hAnsi="inherit" w:cs="Helvetica"/>
          <w:color w:val="374248"/>
          <w:szCs w:val="24"/>
          <w:lang w:eastAsia="en-GB"/>
        </w:rPr>
        <w:t>Basis for recommendation</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The recommendations about checking for an underlying cause for B12 deficiency are based on expert opinion in the British Journal of Haematology </w:t>
      </w:r>
      <w:r w:rsidRPr="00197AB5">
        <w:rPr>
          <w:rFonts w:ascii="Helvetica" w:eastAsia="Times New Roman" w:hAnsi="Helvetica" w:cs="Helvetica"/>
          <w:i/>
          <w:iCs/>
          <w:color w:val="374248"/>
          <w:szCs w:val="24"/>
          <w:lang w:eastAsia="en-GB"/>
        </w:rPr>
        <w:t>Guidelines for the diagnosis and treatment of cobalamin and folate disorders</w:t>
      </w:r>
      <w:r w:rsidRPr="00197AB5">
        <w:rPr>
          <w:rFonts w:ascii="Helvetica" w:eastAsia="Times New Roman" w:hAnsi="Helvetica" w:cs="Helvetica"/>
          <w:color w:val="374248"/>
          <w:szCs w:val="24"/>
          <w:lang w:eastAsia="en-GB"/>
        </w:rPr>
        <w:t>[</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Devalia</w:t>
      </w:r>
      <w:proofErr w:type="spellEnd"/>
      <w:r w:rsidRPr="00197AB5">
        <w:rPr>
          <w:rFonts w:ascii="Helvetica" w:eastAsia="Times New Roman" w:hAnsi="Helvetica" w:cs="Helvetica"/>
          <w:color w:val="0093DA"/>
          <w:szCs w:val="24"/>
          <w:lang w:eastAsia="en-GB"/>
        </w:rPr>
        <w:t xml:space="preserve"> et al, 2014</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xml:space="preserve">], and an article on macrocytic </w:t>
      </w:r>
      <w:proofErr w:type="spellStart"/>
      <w:r w:rsidRPr="00197AB5">
        <w:rPr>
          <w:rFonts w:ascii="Helvetica" w:eastAsia="Times New Roman" w:hAnsi="Helvetica" w:cs="Helvetica"/>
          <w:color w:val="374248"/>
          <w:szCs w:val="24"/>
          <w:lang w:eastAsia="en-GB"/>
        </w:rPr>
        <w:t>anaemias</w:t>
      </w:r>
      <w:proofErr w:type="spellEnd"/>
      <w:r w:rsidRPr="00197AB5">
        <w:rPr>
          <w:rFonts w:ascii="Helvetica" w:eastAsia="Times New Roman" w:hAnsi="Helvetica" w:cs="Helvetica"/>
          <w:color w:val="374248"/>
          <w:szCs w:val="24"/>
          <w:lang w:eastAsia="en-GB"/>
        </w:rPr>
        <w:t xml:space="preserve"> in the ABC of Clinical Haematology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b/>
          <w:bCs/>
          <w:color w:val="374248"/>
          <w:szCs w:val="24"/>
          <w:lang w:eastAsia="en-GB"/>
        </w:rPr>
        <w:t>Checking for anti-intrinsic factor antibodies</w:t>
      </w:r>
    </w:p>
    <w:p w:rsidR="00197AB5" w:rsidRPr="00197AB5" w:rsidRDefault="00197AB5" w:rsidP="00197AB5">
      <w:pPr>
        <w:numPr>
          <w:ilvl w:val="0"/>
          <w:numId w:val="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Anti-intrinsic factor antibody is extremely specific for pernicious anaemia, with a high positive predictive value of 95%, but a low sensitivity of 40–60%. This means that about half of people with pernicious anaemia will have anti-intrinsic factor antibody [</w:t>
      </w:r>
      <w:hyperlink r:id="rId14" w:anchor="!references/-314396" w:history="1">
        <w:r w:rsidRPr="00197AB5">
          <w:rPr>
            <w:rFonts w:ascii="Helvetica" w:eastAsia="Times New Roman" w:hAnsi="Helvetica" w:cs="Helvetica"/>
            <w:color w:val="0093DA"/>
            <w:szCs w:val="24"/>
            <w:lang w:eastAsia="en-GB"/>
          </w:rPr>
          <w:t>Andres et al, 2004</w:t>
        </w:r>
      </w:hyperlink>
      <w:r w:rsidRPr="00197AB5">
        <w:rPr>
          <w:rFonts w:ascii="Helvetica" w:eastAsia="Times New Roman" w:hAnsi="Helvetica" w:cs="Helvetica"/>
          <w:color w:val="374248"/>
          <w:szCs w:val="24"/>
          <w:lang w:eastAsia="en-GB"/>
        </w:rPr>
        <w:t xml:space="preserve">; </w:t>
      </w:r>
      <w:hyperlink r:id="rId15" w:anchor="!references/-314396" w:history="1">
        <w:proofErr w:type="spellStart"/>
        <w:r w:rsidRPr="00197AB5">
          <w:rPr>
            <w:rFonts w:ascii="Helvetica" w:eastAsia="Times New Roman" w:hAnsi="Helvetica" w:cs="Helvetica"/>
            <w:color w:val="0093DA"/>
            <w:szCs w:val="24"/>
            <w:lang w:eastAsia="en-GB"/>
          </w:rPr>
          <w:t>Longmore</w:t>
        </w:r>
        <w:proofErr w:type="spellEnd"/>
        <w:r w:rsidRPr="00197AB5">
          <w:rPr>
            <w:rFonts w:ascii="Helvetica" w:eastAsia="Times New Roman" w:hAnsi="Helvetica" w:cs="Helvetica"/>
            <w:color w:val="0093DA"/>
            <w:szCs w:val="24"/>
            <w:lang w:eastAsia="en-GB"/>
          </w:rPr>
          <w:t xml:space="preserve"> et al, 2007</w:t>
        </w:r>
      </w:hyperlink>
      <w:r w:rsidRPr="00197AB5">
        <w:rPr>
          <w:rFonts w:ascii="Helvetica" w:eastAsia="Times New Roman" w:hAnsi="Helvetica" w:cs="Helvetica"/>
          <w:color w:val="374248"/>
          <w:szCs w:val="24"/>
          <w:lang w:eastAsia="en-GB"/>
        </w:rPr>
        <w:t>]. If anti-intrinsic factor antibody is present, pernicious anaemia is very likely, but its absence does not rule out a diagnosis of pernicious anaemia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Devalia</w:t>
      </w:r>
      <w:proofErr w:type="spellEnd"/>
      <w:r w:rsidRPr="00197AB5">
        <w:rPr>
          <w:rFonts w:ascii="Helvetica" w:eastAsia="Times New Roman" w:hAnsi="Helvetica" w:cs="Helvetica"/>
          <w:color w:val="0093DA"/>
          <w:szCs w:val="24"/>
          <w:lang w:eastAsia="en-GB"/>
        </w:rPr>
        <w:t xml:space="preserve"> et al, 2014</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197AB5" w:rsidRPr="00197AB5" w:rsidRDefault="00197AB5" w:rsidP="00197AB5">
      <w:pPr>
        <w:numPr>
          <w:ilvl w:val="0"/>
          <w:numId w:val="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The recommendation about checking for anti-intrinsic factor antibodies in people with a normal serum B12 level if there are strong clinical features of B12 deficiency to check for pernicious anaemia is based on expert opinion in </w:t>
      </w:r>
      <w:r w:rsidRPr="00197AB5">
        <w:rPr>
          <w:rFonts w:ascii="Helvetica" w:eastAsia="Times New Roman" w:hAnsi="Helvetica" w:cs="Helvetica"/>
          <w:i/>
          <w:iCs/>
          <w:color w:val="374248"/>
          <w:szCs w:val="24"/>
          <w:lang w:eastAsia="en-GB"/>
        </w:rPr>
        <w:t>Guidelines for the diagnosis and treatment of cobalamin and folate disorders</w:t>
      </w:r>
      <w:r w:rsidRPr="00197AB5">
        <w:rPr>
          <w:rFonts w:ascii="Helvetica" w:eastAsia="Times New Roman" w:hAnsi="Helvetica" w:cs="Helvetica"/>
          <w:color w:val="374248"/>
          <w:szCs w:val="24"/>
          <w:lang w:eastAsia="en-GB"/>
        </w:rPr>
        <w:t xml:space="preserve"> published by the British Journal of Haematology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Devalia</w:t>
      </w:r>
      <w:proofErr w:type="spellEnd"/>
      <w:r w:rsidRPr="00197AB5">
        <w:rPr>
          <w:rFonts w:ascii="Helvetica" w:eastAsia="Times New Roman" w:hAnsi="Helvetica" w:cs="Helvetica"/>
          <w:color w:val="0093DA"/>
          <w:szCs w:val="24"/>
          <w:lang w:eastAsia="en-GB"/>
        </w:rPr>
        <w:t xml:space="preserve"> et al, 2014</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b/>
          <w:bCs/>
          <w:color w:val="374248"/>
          <w:szCs w:val="24"/>
          <w:lang w:eastAsia="en-GB"/>
        </w:rPr>
        <w:t>Not checking for gastric anti-parietal cell antibodies</w:t>
      </w:r>
    </w:p>
    <w:p w:rsidR="00197AB5" w:rsidRPr="00197AB5" w:rsidRDefault="00197AB5" w:rsidP="00197AB5">
      <w:pPr>
        <w:numPr>
          <w:ilvl w:val="0"/>
          <w:numId w:val="3"/>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Anti-parietal cell antibody is found in 80% of people with pernicious anaemia, but also in 10% of people without it. However, it has a low specificity of about 50%, which is much lower than that of anti-intrinsic factor antibody [</w:t>
      </w:r>
      <w:hyperlink r:id="rId16" w:anchor="!references/-314396" w:history="1">
        <w:r w:rsidRPr="00197AB5">
          <w:rPr>
            <w:rFonts w:ascii="Helvetica" w:eastAsia="Times New Roman" w:hAnsi="Helvetica" w:cs="Helvetica"/>
            <w:color w:val="0093DA"/>
            <w:szCs w:val="24"/>
            <w:lang w:eastAsia="en-GB"/>
          </w:rPr>
          <w:t>Andres et al, 2004</w:t>
        </w:r>
      </w:hyperlink>
      <w:r w:rsidRPr="00197AB5">
        <w:rPr>
          <w:rFonts w:ascii="Helvetica" w:eastAsia="Times New Roman" w:hAnsi="Helvetica" w:cs="Helvetica"/>
          <w:color w:val="374248"/>
          <w:szCs w:val="24"/>
          <w:lang w:eastAsia="en-GB"/>
        </w:rPr>
        <w:t>]. If anti-parietal cell antibody is not present it is unlikely that the person has pernicious anaemia, but its presence is not diagnostic as it can occur in other conditions (for example atrophic gastritis) and older people (16% of normal women over 60 years of age) [</w:t>
      </w:r>
      <w:hyperlink r:id="rId17" w:anchor="!references/-314396" w:history="1">
        <w:r w:rsidRPr="00197AB5">
          <w:rPr>
            <w:rFonts w:ascii="Helvetica" w:eastAsia="Times New Roman" w:hAnsi="Helvetica" w:cs="Helvetica"/>
            <w:color w:val="0093DA"/>
            <w:szCs w:val="24"/>
            <w:lang w:eastAsia="en-GB"/>
          </w:rPr>
          <w:t>Carmel, 1992</w:t>
        </w:r>
      </w:hyperlink>
      <w:r w:rsidRPr="00197AB5">
        <w:rPr>
          <w:rFonts w:ascii="Helvetica" w:eastAsia="Times New Roman" w:hAnsi="Helvetica" w:cs="Helvetica"/>
          <w:color w:val="374248"/>
          <w:szCs w:val="24"/>
          <w:lang w:eastAsia="en-GB"/>
        </w:rPr>
        <w:t xml:space="preserve">; </w:t>
      </w:r>
      <w:hyperlink r:id="rId18" w:anchor="!references/-314396" w:history="1">
        <w:proofErr w:type="spellStart"/>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et al, 2006</w:t>
        </w:r>
      </w:hyperlink>
      <w:r w:rsidRPr="00197AB5">
        <w:rPr>
          <w:rFonts w:ascii="Helvetica" w:eastAsia="Times New Roman" w:hAnsi="Helvetica" w:cs="Helvetica"/>
          <w:color w:val="374248"/>
          <w:szCs w:val="24"/>
          <w:lang w:eastAsia="en-GB"/>
        </w:rPr>
        <w:t>]. As a result, it is no longer recommended as a diagnostic test for pernicious anaemia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Devalia</w:t>
      </w:r>
      <w:proofErr w:type="spellEnd"/>
      <w:r w:rsidRPr="00197AB5">
        <w:rPr>
          <w:rFonts w:ascii="Helvetica" w:eastAsia="Times New Roman" w:hAnsi="Helvetica" w:cs="Helvetica"/>
          <w:color w:val="0093DA"/>
          <w:szCs w:val="24"/>
          <w:lang w:eastAsia="en-GB"/>
        </w:rPr>
        <w:t xml:space="preserve"> et al, 2014</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19"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Assessing for folate deficiency</w:t>
      </w:r>
    </w:p>
    <w:p w:rsidR="00197AB5" w:rsidRPr="00197AB5" w:rsidRDefault="00197AB5" w:rsidP="00197AB5">
      <w:pPr>
        <w:spacing w:after="0" w:line="360" w:lineRule="atLeast"/>
        <w:outlineLvl w:val="4"/>
        <w:rPr>
          <w:rFonts w:ascii="inherit" w:eastAsia="Times New Roman" w:hAnsi="inherit" w:cs="Helvetica"/>
          <w:color w:val="374248"/>
          <w:szCs w:val="24"/>
          <w:lang w:eastAsia="en-GB"/>
        </w:rPr>
      </w:pPr>
      <w:r w:rsidRPr="00197AB5">
        <w:rPr>
          <w:rFonts w:ascii="inherit" w:eastAsia="Times New Roman" w:hAnsi="inherit" w:cs="Helvetica"/>
          <w:color w:val="374248"/>
          <w:szCs w:val="24"/>
          <w:lang w:eastAsia="en-GB"/>
        </w:rPr>
        <w:t>How should I investigate a person with folate deficiency anaemia in primary care?</w:t>
      </w:r>
    </w:p>
    <w:p w:rsidR="00197AB5" w:rsidRPr="00197AB5" w:rsidRDefault="00197AB5" w:rsidP="00197AB5">
      <w:pPr>
        <w:numPr>
          <w:ilvl w:val="0"/>
          <w:numId w:val="4"/>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Determine whether there is an underlying </w:t>
      </w:r>
      <w:hyperlink r:id="rId20" w:anchor="!backgroundsub:4" w:history="1">
        <w:r w:rsidRPr="00197AB5">
          <w:rPr>
            <w:rFonts w:ascii="Helvetica" w:eastAsia="Times New Roman" w:hAnsi="Helvetica" w:cs="Helvetica"/>
            <w:color w:val="0093DA"/>
            <w:szCs w:val="24"/>
            <w:lang w:eastAsia="en-GB"/>
          </w:rPr>
          <w:t>cause</w:t>
        </w:r>
      </w:hyperlink>
      <w:r w:rsidRPr="00197AB5">
        <w:rPr>
          <w:rFonts w:ascii="Helvetica" w:eastAsia="Times New Roman" w:hAnsi="Helvetica" w:cs="Helvetica"/>
          <w:color w:val="374248"/>
          <w:szCs w:val="24"/>
          <w:lang w:eastAsia="en-GB"/>
        </w:rPr>
        <w:t xml:space="preserve"> for the folate deficiency.</w:t>
      </w:r>
    </w:p>
    <w:p w:rsidR="00197AB5" w:rsidRPr="00197AB5" w:rsidRDefault="00197AB5" w:rsidP="00197AB5">
      <w:pPr>
        <w:numPr>
          <w:ilvl w:val="1"/>
          <w:numId w:val="4"/>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If folate levels are low, and the history suggests </w:t>
      </w:r>
      <w:proofErr w:type="spellStart"/>
      <w:r w:rsidRPr="00197AB5">
        <w:rPr>
          <w:rFonts w:ascii="Helvetica" w:eastAsia="Times New Roman" w:hAnsi="Helvetica" w:cs="Helvetica"/>
          <w:color w:val="374248"/>
          <w:szCs w:val="24"/>
          <w:lang w:eastAsia="en-GB"/>
        </w:rPr>
        <w:t>malabsorption</w:t>
      </w:r>
      <w:proofErr w:type="spellEnd"/>
      <w:r w:rsidRPr="00197AB5">
        <w:rPr>
          <w:rFonts w:ascii="Helvetica" w:eastAsia="Times New Roman" w:hAnsi="Helvetica" w:cs="Helvetica"/>
          <w:color w:val="374248"/>
          <w:szCs w:val="24"/>
          <w:lang w:eastAsia="en-GB"/>
        </w:rPr>
        <w:t>, check for coeliac disease with anti-</w:t>
      </w:r>
      <w:proofErr w:type="spellStart"/>
      <w:r w:rsidRPr="00197AB5">
        <w:rPr>
          <w:rFonts w:ascii="Helvetica" w:eastAsia="Times New Roman" w:hAnsi="Helvetica" w:cs="Helvetica"/>
          <w:color w:val="374248"/>
          <w:szCs w:val="24"/>
          <w:lang w:eastAsia="en-GB"/>
        </w:rPr>
        <w:t>endomysial</w:t>
      </w:r>
      <w:proofErr w:type="spellEnd"/>
      <w:r w:rsidRPr="00197AB5">
        <w:rPr>
          <w:rFonts w:ascii="Helvetica" w:eastAsia="Times New Roman" w:hAnsi="Helvetica" w:cs="Helvetica"/>
          <w:color w:val="374248"/>
          <w:szCs w:val="24"/>
          <w:lang w:eastAsia="en-GB"/>
        </w:rPr>
        <w:t xml:space="preserve"> or anti-</w:t>
      </w:r>
      <w:proofErr w:type="spellStart"/>
      <w:r w:rsidRPr="00197AB5">
        <w:rPr>
          <w:rFonts w:ascii="Helvetica" w:eastAsia="Times New Roman" w:hAnsi="Helvetica" w:cs="Helvetica"/>
          <w:color w:val="374248"/>
          <w:szCs w:val="24"/>
          <w:lang w:eastAsia="en-GB"/>
        </w:rPr>
        <w:t>transglutaminase</w:t>
      </w:r>
      <w:proofErr w:type="spellEnd"/>
      <w:r w:rsidRPr="00197AB5">
        <w:rPr>
          <w:rFonts w:ascii="Helvetica" w:eastAsia="Times New Roman" w:hAnsi="Helvetica" w:cs="Helvetica"/>
          <w:color w:val="374248"/>
          <w:szCs w:val="24"/>
          <w:lang w:eastAsia="en-GB"/>
        </w:rPr>
        <w:t xml:space="preserve"> antibodies (depending on the local laboratory).</w:t>
      </w:r>
    </w:p>
    <w:p w:rsidR="00197AB5" w:rsidRPr="00197AB5" w:rsidRDefault="00197AB5" w:rsidP="00197AB5">
      <w:pPr>
        <w:numPr>
          <w:ilvl w:val="0"/>
          <w:numId w:val="4"/>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Determine whether the person has experienced </w:t>
      </w:r>
      <w:hyperlink r:id="rId21" w:anchor="!backgroundsub:6" w:history="1">
        <w:r w:rsidRPr="00197AB5">
          <w:rPr>
            <w:rFonts w:ascii="Helvetica" w:eastAsia="Times New Roman" w:hAnsi="Helvetica" w:cs="Helvetica"/>
            <w:color w:val="0093DA"/>
            <w:szCs w:val="24"/>
            <w:lang w:eastAsia="en-GB"/>
          </w:rPr>
          <w:t>complications</w:t>
        </w:r>
      </w:hyperlink>
      <w:r w:rsidRPr="00197AB5">
        <w:rPr>
          <w:rFonts w:ascii="Helvetica" w:eastAsia="Times New Roman" w:hAnsi="Helvetica" w:cs="Helvetica"/>
          <w:color w:val="374248"/>
          <w:szCs w:val="24"/>
          <w:lang w:eastAsia="en-GB"/>
        </w:rPr>
        <w:t xml:space="preserve"> of anaemia or folate deficiency.</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22"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0" w:line="360" w:lineRule="atLeast"/>
        <w:outlineLvl w:val="4"/>
        <w:rPr>
          <w:rFonts w:ascii="inherit" w:eastAsia="Times New Roman" w:hAnsi="inherit" w:cs="Helvetica"/>
          <w:color w:val="374248"/>
          <w:szCs w:val="24"/>
          <w:lang w:eastAsia="en-GB"/>
        </w:rPr>
      </w:pPr>
      <w:r w:rsidRPr="00197AB5">
        <w:rPr>
          <w:rFonts w:ascii="inherit" w:eastAsia="Times New Roman" w:hAnsi="inherit" w:cs="Helvetica"/>
          <w:color w:val="374248"/>
          <w:szCs w:val="24"/>
          <w:lang w:eastAsia="en-GB"/>
        </w:rPr>
        <w:t>Basis for recommendation</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This recommendation is based on an article on macrocytic </w:t>
      </w:r>
      <w:proofErr w:type="spellStart"/>
      <w:r w:rsidRPr="00197AB5">
        <w:rPr>
          <w:rFonts w:ascii="Helvetica" w:eastAsia="Times New Roman" w:hAnsi="Helvetica" w:cs="Helvetica"/>
          <w:color w:val="374248"/>
          <w:szCs w:val="24"/>
          <w:lang w:eastAsia="en-GB"/>
        </w:rPr>
        <w:t>anaemias</w:t>
      </w:r>
      <w:proofErr w:type="spellEnd"/>
      <w:r w:rsidRPr="00197AB5">
        <w:rPr>
          <w:rFonts w:ascii="Helvetica" w:eastAsia="Times New Roman" w:hAnsi="Helvetica" w:cs="Helvetica"/>
          <w:color w:val="374248"/>
          <w:szCs w:val="24"/>
          <w:lang w:eastAsia="en-GB"/>
        </w:rPr>
        <w:t xml:space="preserve"> in the ABC of Clinical Haematology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xml:space="preserve">], a textbook chapter on </w:t>
      </w:r>
      <w:proofErr w:type="spellStart"/>
      <w:r w:rsidRPr="00197AB5">
        <w:rPr>
          <w:rFonts w:ascii="Helvetica" w:eastAsia="Times New Roman" w:hAnsi="Helvetica" w:cs="Helvetica"/>
          <w:color w:val="374248"/>
          <w:szCs w:val="24"/>
          <w:lang w:eastAsia="en-GB"/>
        </w:rPr>
        <w:t>megaloblastic</w:t>
      </w:r>
      <w:proofErr w:type="spellEnd"/>
      <w:r w:rsidRPr="00197AB5">
        <w:rPr>
          <w:rFonts w:ascii="Helvetica" w:eastAsia="Times New Roman" w:hAnsi="Helvetica" w:cs="Helvetica"/>
          <w:color w:val="374248"/>
          <w:szCs w:val="24"/>
          <w:lang w:eastAsia="en-GB"/>
        </w:rPr>
        <w:t xml:space="preserve"> and other macrocytic </w:t>
      </w:r>
      <w:proofErr w:type="spellStart"/>
      <w:r w:rsidRPr="00197AB5">
        <w:rPr>
          <w:rFonts w:ascii="Helvetica" w:eastAsia="Times New Roman" w:hAnsi="Helvetica" w:cs="Helvetica"/>
          <w:color w:val="374248"/>
          <w:szCs w:val="24"/>
          <w:lang w:eastAsia="en-GB"/>
        </w:rPr>
        <w:t>anaemias</w:t>
      </w:r>
      <w:proofErr w:type="spellEnd"/>
      <w:r w:rsidRPr="00197AB5">
        <w:rPr>
          <w:rFonts w:ascii="Helvetica" w:eastAsia="Times New Roman" w:hAnsi="Helvetica" w:cs="Helvetica"/>
          <w:color w:val="374248"/>
          <w:szCs w:val="24"/>
          <w:lang w:eastAsia="en-GB"/>
        </w:rPr>
        <w:t xml:space="preserve">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et al, 2006</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and a patient pathway on anaemia [</w:t>
      </w:r>
      <w:hyperlink r:id="rId23" w:anchor="!references/-314396" w:history="1">
        <w:r w:rsidRPr="00197AB5">
          <w:rPr>
            <w:rFonts w:ascii="Helvetica" w:eastAsia="Times New Roman" w:hAnsi="Helvetica" w:cs="Helvetica"/>
            <w:color w:val="0093DA"/>
            <w:szCs w:val="24"/>
            <w:lang w:eastAsia="en-GB"/>
          </w:rPr>
          <w:t>NHS Scotland, 2005</w:t>
        </w:r>
      </w:hyperlink>
      <w:r w:rsidRPr="00197AB5">
        <w:rPr>
          <w:rFonts w:ascii="Helvetica" w:eastAsia="Times New Roman" w:hAnsi="Helvetica" w:cs="Helvetica"/>
          <w:color w:val="374248"/>
          <w:szCs w:val="24"/>
          <w:lang w:eastAsia="en-GB"/>
        </w:rPr>
        <w:t>].</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24"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Referral</w:t>
      </w:r>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When should I refer a person with vitamin B12 or folate deficiency anaemia?</w:t>
      </w:r>
    </w:p>
    <w:p w:rsidR="00197AB5" w:rsidRPr="00197AB5" w:rsidRDefault="00197AB5" w:rsidP="00197AB5">
      <w:pPr>
        <w:numPr>
          <w:ilvl w:val="0"/>
          <w:numId w:val="5"/>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highlight w:val="yellow"/>
          <w:lang w:eastAsia="en-GB"/>
        </w:rPr>
        <w:t>Seek urgent advice from a haematologist if the person has neurological symptoms</w:t>
      </w:r>
      <w:r w:rsidRPr="00197AB5">
        <w:rPr>
          <w:rFonts w:ascii="Helvetica" w:eastAsia="Times New Roman" w:hAnsi="Helvetica" w:cs="Helvetica"/>
          <w:color w:val="374248"/>
          <w:szCs w:val="24"/>
          <w:lang w:eastAsia="en-GB"/>
        </w:rPr>
        <w:t>, or is pregnant.</w:t>
      </w:r>
    </w:p>
    <w:p w:rsidR="00197AB5" w:rsidRPr="00197AB5" w:rsidRDefault="00197AB5" w:rsidP="00197AB5">
      <w:pPr>
        <w:numPr>
          <w:ilvl w:val="0"/>
          <w:numId w:val="5"/>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Refer to a haematologist if the cause of vitamin B12 or folate deficiency is uncertain following investigations, or the suspected cause is haematological malignancy (urgently refer) or other blood disorder.</w:t>
      </w:r>
    </w:p>
    <w:p w:rsidR="00197AB5" w:rsidRPr="00197AB5" w:rsidRDefault="00197AB5" w:rsidP="00197AB5">
      <w:pPr>
        <w:numPr>
          <w:ilvl w:val="0"/>
          <w:numId w:val="5"/>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Refer to a gastroenterologist if:</w:t>
      </w:r>
    </w:p>
    <w:p w:rsidR="00197AB5" w:rsidRPr="00197AB5" w:rsidRDefault="00197AB5" w:rsidP="00197AB5">
      <w:pPr>
        <w:numPr>
          <w:ilvl w:val="1"/>
          <w:numId w:val="5"/>
        </w:numPr>
        <w:spacing w:before="100" w:beforeAutospacing="1" w:after="100" w:afterAutospacing="1" w:line="360" w:lineRule="atLeast"/>
        <w:ind w:left="600"/>
        <w:rPr>
          <w:rFonts w:ascii="Helvetica" w:eastAsia="Times New Roman" w:hAnsi="Helvetica" w:cs="Helvetica"/>
          <w:color w:val="374248"/>
          <w:szCs w:val="24"/>
          <w:lang w:eastAsia="en-GB"/>
        </w:rPr>
      </w:pPr>
      <w:proofErr w:type="spellStart"/>
      <w:r w:rsidRPr="00197AB5">
        <w:rPr>
          <w:rFonts w:ascii="Helvetica" w:eastAsia="Times New Roman" w:hAnsi="Helvetica" w:cs="Helvetica"/>
          <w:color w:val="374248"/>
          <w:szCs w:val="24"/>
          <w:lang w:eastAsia="en-GB"/>
        </w:rPr>
        <w:t>Malabsorption</w:t>
      </w:r>
      <w:proofErr w:type="spellEnd"/>
      <w:r w:rsidRPr="00197AB5">
        <w:rPr>
          <w:rFonts w:ascii="Helvetica" w:eastAsia="Times New Roman" w:hAnsi="Helvetica" w:cs="Helvetica"/>
          <w:color w:val="374248"/>
          <w:szCs w:val="24"/>
          <w:lang w:eastAsia="en-GB"/>
        </w:rPr>
        <w:t xml:space="preserve"> of vitamin B12 (other than due to pernicious anaemia) or folate is suspected.</w:t>
      </w:r>
    </w:p>
    <w:p w:rsidR="00197AB5" w:rsidRPr="00197AB5" w:rsidRDefault="00197AB5" w:rsidP="00197AB5">
      <w:pPr>
        <w:numPr>
          <w:ilvl w:val="1"/>
          <w:numId w:val="5"/>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The person has pernicious anaemia and gastrointestinal symptoms, especially if there is a suspicion of gastric cancer (for example co-existing iron deficiency). The urgency of referral will depend on the nature of the symptoms.</w:t>
      </w:r>
    </w:p>
    <w:p w:rsidR="00197AB5" w:rsidRPr="00197AB5" w:rsidRDefault="00197AB5" w:rsidP="00197AB5">
      <w:pPr>
        <w:numPr>
          <w:ilvl w:val="1"/>
          <w:numId w:val="5"/>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The person is folate deficient, and antibody testing suggests coeliac disease (positive for anti-</w:t>
      </w:r>
      <w:proofErr w:type="spellStart"/>
      <w:r w:rsidRPr="00197AB5">
        <w:rPr>
          <w:rFonts w:ascii="Helvetica" w:eastAsia="Times New Roman" w:hAnsi="Helvetica" w:cs="Helvetica"/>
          <w:color w:val="374248"/>
          <w:szCs w:val="24"/>
          <w:lang w:eastAsia="en-GB"/>
        </w:rPr>
        <w:t>endomysial</w:t>
      </w:r>
      <w:proofErr w:type="spellEnd"/>
      <w:r w:rsidRPr="00197AB5">
        <w:rPr>
          <w:rFonts w:ascii="Helvetica" w:eastAsia="Times New Roman" w:hAnsi="Helvetica" w:cs="Helvetica"/>
          <w:color w:val="374248"/>
          <w:szCs w:val="24"/>
          <w:lang w:eastAsia="en-GB"/>
        </w:rPr>
        <w:t xml:space="preserve"> or anti-</w:t>
      </w:r>
      <w:proofErr w:type="spellStart"/>
      <w:r w:rsidRPr="00197AB5">
        <w:rPr>
          <w:rFonts w:ascii="Helvetica" w:eastAsia="Times New Roman" w:hAnsi="Helvetica" w:cs="Helvetica"/>
          <w:color w:val="374248"/>
          <w:szCs w:val="24"/>
          <w:lang w:eastAsia="en-GB"/>
        </w:rPr>
        <w:t>transglutaminase</w:t>
      </w:r>
      <w:proofErr w:type="spellEnd"/>
      <w:r w:rsidRPr="00197AB5">
        <w:rPr>
          <w:rFonts w:ascii="Helvetica" w:eastAsia="Times New Roman" w:hAnsi="Helvetica" w:cs="Helvetica"/>
          <w:color w:val="374248"/>
          <w:szCs w:val="24"/>
          <w:lang w:eastAsia="en-GB"/>
        </w:rPr>
        <w:t xml:space="preserve"> antibodies).</w:t>
      </w:r>
    </w:p>
    <w:p w:rsidR="00197AB5" w:rsidRPr="00197AB5" w:rsidRDefault="00197AB5" w:rsidP="00197AB5">
      <w:pPr>
        <w:numPr>
          <w:ilvl w:val="0"/>
          <w:numId w:val="5"/>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Consider referral to a dietician if vitamin B12 or folate deficiency is thought to be due to a poor diet.</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25"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Basis for recommendation</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These recommendations are pragmatic advice based on an anaemia patient pathway [</w:t>
      </w:r>
      <w:hyperlink r:id="rId26" w:anchor="!references/-314396" w:history="1">
        <w:r w:rsidRPr="00197AB5">
          <w:rPr>
            <w:rFonts w:ascii="Helvetica" w:eastAsia="Times New Roman" w:hAnsi="Helvetica" w:cs="Helvetica"/>
            <w:color w:val="0093DA"/>
            <w:szCs w:val="24"/>
            <w:lang w:eastAsia="en-GB"/>
          </w:rPr>
          <w:t>NHS Scotland, 2005</w:t>
        </w:r>
      </w:hyperlink>
      <w:r w:rsidRPr="00197AB5">
        <w:rPr>
          <w:rFonts w:ascii="Helvetica" w:eastAsia="Times New Roman" w:hAnsi="Helvetica" w:cs="Helvetica"/>
          <w:color w:val="374248"/>
          <w:szCs w:val="24"/>
          <w:lang w:eastAsia="en-GB"/>
        </w:rPr>
        <w:t xml:space="preserve">], a chapter from the ABC of clinical haematology on macrocytic </w:t>
      </w:r>
      <w:proofErr w:type="spellStart"/>
      <w:r w:rsidRPr="00197AB5">
        <w:rPr>
          <w:rFonts w:ascii="Helvetica" w:eastAsia="Times New Roman" w:hAnsi="Helvetica" w:cs="Helvetica"/>
          <w:color w:val="374248"/>
          <w:szCs w:val="24"/>
          <w:lang w:eastAsia="en-GB"/>
        </w:rPr>
        <w:t>anaemias</w:t>
      </w:r>
      <w:proofErr w:type="spellEnd"/>
      <w:r w:rsidRPr="00197AB5">
        <w:rPr>
          <w:rFonts w:ascii="Helvetica" w:eastAsia="Times New Roman" w:hAnsi="Helvetica" w:cs="Helvetica"/>
          <w:color w:val="374248"/>
          <w:szCs w:val="24"/>
          <w:lang w:eastAsia="en-GB"/>
        </w:rPr>
        <w:t xml:space="preserve">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and guidelines from the National Institute for Health and Clinical Excellence on referral for suspected cancer [</w:t>
      </w:r>
      <w:hyperlink r:id="rId27" w:anchor="!references/-314396" w:history="1">
        <w:r w:rsidRPr="00197AB5">
          <w:rPr>
            <w:rFonts w:ascii="Helvetica" w:eastAsia="Times New Roman" w:hAnsi="Helvetica" w:cs="Helvetica"/>
            <w:color w:val="0093DA"/>
            <w:szCs w:val="24"/>
            <w:lang w:eastAsia="en-GB"/>
          </w:rPr>
          <w:t>NICE, 2005</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0"/>
          <w:numId w:val="6"/>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People with pernicious anaemia have an increased risk of gastric carcinoma or gastric polyps (2–3 times more common than in age- and sex-matched controls)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CKS considered this information and expert opinion from reviewers of this CKS topic when making the recommendation about when to refer to a gastroenterologist.</w:t>
      </w:r>
    </w:p>
    <w:p w:rsidR="00197AB5" w:rsidRPr="00197AB5" w:rsidRDefault="00197AB5" w:rsidP="00197AB5">
      <w:pPr>
        <w:numPr>
          <w:ilvl w:val="0"/>
          <w:numId w:val="6"/>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Further tests which may be considered by specialists if the cause of vitamin B12 deficiency is uncertain include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197AB5" w:rsidRPr="00197AB5" w:rsidRDefault="00197AB5" w:rsidP="00197AB5">
      <w:pPr>
        <w:numPr>
          <w:ilvl w:val="1"/>
          <w:numId w:val="6"/>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Radioactive vitamin B12 absorption studies.</w:t>
      </w:r>
    </w:p>
    <w:p w:rsidR="00197AB5" w:rsidRPr="00197AB5" w:rsidRDefault="00197AB5" w:rsidP="00197AB5">
      <w:pPr>
        <w:numPr>
          <w:ilvl w:val="1"/>
          <w:numId w:val="6"/>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Bone marrow examination (to exclude </w:t>
      </w:r>
      <w:proofErr w:type="spellStart"/>
      <w:r w:rsidRPr="00197AB5">
        <w:rPr>
          <w:rFonts w:ascii="Helvetica" w:eastAsia="Times New Roman" w:hAnsi="Helvetica" w:cs="Helvetica"/>
          <w:color w:val="374248"/>
          <w:szCs w:val="24"/>
          <w:lang w:eastAsia="en-GB"/>
        </w:rPr>
        <w:t>myelodysplasia</w:t>
      </w:r>
      <w:proofErr w:type="spellEnd"/>
      <w:r w:rsidRPr="00197AB5">
        <w:rPr>
          <w:rFonts w:ascii="Helvetica" w:eastAsia="Times New Roman" w:hAnsi="Helvetica" w:cs="Helvetica"/>
          <w:color w:val="374248"/>
          <w:szCs w:val="24"/>
          <w:lang w:eastAsia="en-GB"/>
        </w:rPr>
        <w:t xml:space="preserve">, aplastic anaemia, myeloma, or other marrow disorders associated with </w:t>
      </w:r>
      <w:proofErr w:type="spellStart"/>
      <w:r w:rsidRPr="00197AB5">
        <w:rPr>
          <w:rFonts w:ascii="Helvetica" w:eastAsia="Times New Roman" w:hAnsi="Helvetica" w:cs="Helvetica"/>
          <w:color w:val="374248"/>
          <w:szCs w:val="24"/>
          <w:lang w:eastAsia="en-GB"/>
        </w:rPr>
        <w:t>macrocytosis</w:t>
      </w:r>
      <w:proofErr w:type="spellEnd"/>
      <w:r w:rsidRPr="00197AB5">
        <w:rPr>
          <w:rFonts w:ascii="Helvetica" w:eastAsia="Times New Roman" w:hAnsi="Helvetica" w:cs="Helvetica"/>
          <w:color w:val="374248"/>
          <w:szCs w:val="24"/>
          <w:lang w:eastAsia="en-GB"/>
        </w:rPr>
        <w:t>).</w:t>
      </w:r>
    </w:p>
    <w:p w:rsidR="00197AB5" w:rsidRPr="00197AB5" w:rsidRDefault="00197AB5" w:rsidP="00197AB5">
      <w:pPr>
        <w:numPr>
          <w:ilvl w:val="1"/>
          <w:numId w:val="6"/>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Endoscopy and gastric biopsy (vitamin B12 deficiency) or duodenal biopsy (folate deficiency).</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28"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Treatment for B12 deficiency</w:t>
      </w:r>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How should I treat a person with vitamin B12 deficiency anaemia?</w:t>
      </w:r>
    </w:p>
    <w:p w:rsidR="00197AB5" w:rsidRPr="00197AB5" w:rsidRDefault="00197AB5" w:rsidP="00197AB5">
      <w:pPr>
        <w:numPr>
          <w:ilvl w:val="0"/>
          <w:numId w:val="7"/>
        </w:numPr>
        <w:spacing w:before="100" w:beforeAutospacing="1" w:after="100" w:afterAutospacing="1" w:line="360" w:lineRule="atLeast"/>
        <w:ind w:left="300"/>
        <w:rPr>
          <w:rFonts w:ascii="Helvetica" w:eastAsia="Times New Roman" w:hAnsi="Helvetica" w:cs="Helvetica"/>
          <w:color w:val="374248"/>
          <w:szCs w:val="24"/>
          <w:highlight w:val="yellow"/>
          <w:lang w:eastAsia="en-GB"/>
        </w:rPr>
      </w:pPr>
      <w:r w:rsidRPr="00197AB5">
        <w:rPr>
          <w:rFonts w:ascii="Helvetica" w:eastAsia="Times New Roman" w:hAnsi="Helvetica" w:cs="Helvetica"/>
          <w:b/>
          <w:bCs/>
          <w:color w:val="374248"/>
          <w:szCs w:val="24"/>
          <w:highlight w:val="yellow"/>
          <w:lang w:eastAsia="en-GB"/>
        </w:rPr>
        <w:t>For people with neurological involvement:</w:t>
      </w:r>
    </w:p>
    <w:p w:rsidR="00197AB5" w:rsidRPr="00197AB5" w:rsidRDefault="00197AB5" w:rsidP="00197AB5">
      <w:pPr>
        <w:numPr>
          <w:ilvl w:val="1"/>
          <w:numId w:val="7"/>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highlight w:val="yellow"/>
          <w:lang w:eastAsia="en-GB"/>
        </w:rPr>
        <w:t>Seek urgent specialist advice from a haematologist</w:t>
      </w:r>
      <w:r w:rsidRPr="00197AB5">
        <w:rPr>
          <w:rFonts w:ascii="Helvetica" w:eastAsia="Times New Roman" w:hAnsi="Helvetica" w:cs="Helvetica"/>
          <w:color w:val="374248"/>
          <w:szCs w:val="24"/>
          <w:lang w:eastAsia="en-GB"/>
        </w:rPr>
        <w:t>.</w:t>
      </w:r>
    </w:p>
    <w:p w:rsidR="00197AB5" w:rsidRPr="00197AB5" w:rsidRDefault="00197AB5" w:rsidP="00197AB5">
      <w:pPr>
        <w:numPr>
          <w:ilvl w:val="1"/>
          <w:numId w:val="7"/>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Ideally, management should be guided by a specialist, but if specialist advice is not immediately available, consider the following:</w:t>
      </w:r>
    </w:p>
    <w:p w:rsidR="00197AB5" w:rsidRPr="00197AB5" w:rsidRDefault="00197AB5" w:rsidP="00197AB5">
      <w:pPr>
        <w:numPr>
          <w:ilvl w:val="2"/>
          <w:numId w:val="7"/>
        </w:numPr>
        <w:spacing w:before="100" w:beforeAutospacing="1" w:after="100" w:afterAutospacing="1" w:line="360" w:lineRule="atLeast"/>
        <w:ind w:left="9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highlight w:val="yellow"/>
          <w:lang w:eastAsia="en-GB"/>
        </w:rPr>
        <w:t>Initially administer hydroxocobalamin 1 mg intramuscularly on alternate days until there is no further improvement,</w:t>
      </w:r>
      <w:r w:rsidRPr="00197AB5">
        <w:rPr>
          <w:rFonts w:ascii="Helvetica" w:eastAsia="Times New Roman" w:hAnsi="Helvetica" w:cs="Helvetica"/>
          <w:color w:val="374248"/>
          <w:szCs w:val="24"/>
          <w:lang w:eastAsia="en-GB"/>
        </w:rPr>
        <w:t xml:space="preserve"> </w:t>
      </w:r>
      <w:proofErr w:type="gramStart"/>
      <w:r w:rsidRPr="00197AB5">
        <w:rPr>
          <w:rFonts w:ascii="Helvetica" w:eastAsia="Times New Roman" w:hAnsi="Helvetica" w:cs="Helvetica"/>
          <w:color w:val="374248"/>
          <w:szCs w:val="24"/>
          <w:lang w:eastAsia="en-GB"/>
        </w:rPr>
        <w:t>then</w:t>
      </w:r>
      <w:proofErr w:type="gramEnd"/>
      <w:r w:rsidRPr="00197AB5">
        <w:rPr>
          <w:rFonts w:ascii="Helvetica" w:eastAsia="Times New Roman" w:hAnsi="Helvetica" w:cs="Helvetica"/>
          <w:color w:val="374248"/>
          <w:szCs w:val="24"/>
          <w:lang w:eastAsia="en-GB"/>
        </w:rPr>
        <w:t xml:space="preserve"> administer hydroxocobalamin 1 mg intramuscularly every 2 months.</w:t>
      </w:r>
    </w:p>
    <w:p w:rsidR="00197AB5" w:rsidRPr="00197AB5" w:rsidRDefault="00197AB5" w:rsidP="00197AB5">
      <w:pPr>
        <w:numPr>
          <w:ilvl w:val="0"/>
          <w:numId w:val="7"/>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b/>
          <w:bCs/>
          <w:color w:val="374248"/>
          <w:szCs w:val="24"/>
          <w:lang w:eastAsia="en-GB"/>
        </w:rPr>
        <w:t>For people with no neurological involvement:</w:t>
      </w:r>
    </w:p>
    <w:p w:rsidR="00197AB5" w:rsidRPr="00197AB5" w:rsidRDefault="00197AB5" w:rsidP="00197AB5">
      <w:pPr>
        <w:numPr>
          <w:ilvl w:val="1"/>
          <w:numId w:val="7"/>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Initially administer hydroxocobalamin 1 mg intramuscularly on alternate days for 2 weeks.</w:t>
      </w:r>
    </w:p>
    <w:p w:rsidR="00197AB5" w:rsidRPr="00197AB5" w:rsidRDefault="00197AB5" w:rsidP="00197AB5">
      <w:pPr>
        <w:numPr>
          <w:ilvl w:val="1"/>
          <w:numId w:val="7"/>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Maintenance dose (where the vitamin B12 deficiency is not thought to be diet related): administer hydroxocobalamin 1 mg intramuscularly every 3 months for life (standard dose). Note that the manufacturers' licence is for every 2–3 months.</w:t>
      </w:r>
    </w:p>
    <w:p w:rsidR="00197AB5" w:rsidRPr="00197AB5" w:rsidRDefault="00197AB5" w:rsidP="00197AB5">
      <w:pPr>
        <w:numPr>
          <w:ilvl w:val="1"/>
          <w:numId w:val="7"/>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Maintenance dose (where vitamin B12 deficiency is thought to be diet related): advise people either to take oral </w:t>
      </w:r>
      <w:proofErr w:type="spellStart"/>
      <w:r w:rsidRPr="00197AB5">
        <w:rPr>
          <w:rFonts w:ascii="Helvetica" w:eastAsia="Times New Roman" w:hAnsi="Helvetica" w:cs="Helvetica"/>
          <w:color w:val="374248"/>
          <w:szCs w:val="24"/>
          <w:lang w:eastAsia="en-GB"/>
        </w:rPr>
        <w:t>cyanocobalamin</w:t>
      </w:r>
      <w:proofErr w:type="spellEnd"/>
      <w:r w:rsidRPr="00197AB5">
        <w:rPr>
          <w:rFonts w:ascii="Helvetica" w:eastAsia="Times New Roman" w:hAnsi="Helvetica" w:cs="Helvetica"/>
          <w:color w:val="374248"/>
          <w:szCs w:val="24"/>
          <w:lang w:eastAsia="en-GB"/>
        </w:rPr>
        <w:t xml:space="preserve"> tablets 50–150 micrograms daily between meals, or have a twice-yearly hydroxocobalamin 1 mg injection. The injection regimen may be preferred in the elderly (who are more likely to have </w:t>
      </w:r>
      <w:proofErr w:type="spellStart"/>
      <w:r w:rsidRPr="00197AB5">
        <w:rPr>
          <w:rFonts w:ascii="Helvetica" w:eastAsia="Times New Roman" w:hAnsi="Helvetica" w:cs="Helvetica"/>
          <w:color w:val="374248"/>
          <w:szCs w:val="24"/>
          <w:lang w:eastAsia="en-GB"/>
        </w:rPr>
        <w:t>malabsorption</w:t>
      </w:r>
      <w:proofErr w:type="spellEnd"/>
      <w:r w:rsidRPr="00197AB5">
        <w:rPr>
          <w:rFonts w:ascii="Helvetica" w:eastAsia="Times New Roman" w:hAnsi="Helvetica" w:cs="Helvetica"/>
          <w:color w:val="374248"/>
          <w:szCs w:val="24"/>
          <w:lang w:eastAsia="en-GB"/>
        </w:rPr>
        <w:t xml:space="preserve">), and vegans (as currently available brands of oral </w:t>
      </w:r>
      <w:proofErr w:type="spellStart"/>
      <w:r w:rsidRPr="00197AB5">
        <w:rPr>
          <w:rFonts w:ascii="Helvetica" w:eastAsia="Times New Roman" w:hAnsi="Helvetica" w:cs="Helvetica"/>
          <w:color w:val="374248"/>
          <w:szCs w:val="24"/>
          <w:lang w:eastAsia="en-GB"/>
        </w:rPr>
        <w:t>cyanocobalamin</w:t>
      </w:r>
      <w:proofErr w:type="spellEnd"/>
      <w:r w:rsidRPr="00197AB5">
        <w:rPr>
          <w:rFonts w:ascii="Helvetica" w:eastAsia="Times New Roman" w:hAnsi="Helvetica" w:cs="Helvetica"/>
          <w:color w:val="374248"/>
          <w:szCs w:val="24"/>
          <w:lang w:eastAsia="en-GB"/>
        </w:rPr>
        <w:t xml:space="preserve"> may not be suitable for vegans).</w:t>
      </w:r>
    </w:p>
    <w:p w:rsidR="00197AB5" w:rsidRPr="00197AB5" w:rsidRDefault="00197AB5" w:rsidP="00197AB5">
      <w:pPr>
        <w:numPr>
          <w:ilvl w:val="2"/>
          <w:numId w:val="7"/>
        </w:numPr>
        <w:spacing w:before="100" w:beforeAutospacing="1" w:after="100" w:afterAutospacing="1" w:line="360" w:lineRule="atLeast"/>
        <w:ind w:left="9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In vegans, this treatment may need to be life-long, whereas in other people with dietary deficiency replacement treatment can be stopped once the vitamin B12 levels have been corrected and the diet has improved.</w:t>
      </w:r>
    </w:p>
    <w:p w:rsidR="00197AB5" w:rsidRPr="00197AB5" w:rsidRDefault="00197AB5" w:rsidP="00197AB5">
      <w:pPr>
        <w:numPr>
          <w:ilvl w:val="2"/>
          <w:numId w:val="7"/>
        </w:numPr>
        <w:spacing w:before="100" w:beforeAutospacing="1" w:after="100" w:afterAutospacing="1" w:line="360" w:lineRule="atLeast"/>
        <w:ind w:left="9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Advise people to eat foods rich in vitamin B12. Foods which have been fortified with vitamin B12 (for example some soy products, and some breakfast cereals and breads) are good alternative sources to meat, eggs, and dairy products.</w:t>
      </w:r>
    </w:p>
    <w:p w:rsidR="00197AB5" w:rsidRPr="00197AB5" w:rsidRDefault="00197AB5" w:rsidP="00197AB5">
      <w:pPr>
        <w:numPr>
          <w:ilvl w:val="2"/>
          <w:numId w:val="7"/>
        </w:numPr>
        <w:spacing w:before="100" w:beforeAutospacing="1" w:after="100" w:afterAutospacing="1" w:line="360" w:lineRule="atLeast"/>
        <w:ind w:left="9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For more information about using vitamin B12 products, see </w:t>
      </w:r>
      <w:hyperlink r:id="rId29" w:anchor="!prescribinginfo" w:history="1">
        <w:r w:rsidRPr="00197AB5">
          <w:rPr>
            <w:rFonts w:ascii="Helvetica" w:eastAsia="Times New Roman" w:hAnsi="Helvetica" w:cs="Helvetica"/>
            <w:color w:val="0093DA"/>
            <w:szCs w:val="24"/>
            <w:lang w:eastAsia="en-GB"/>
          </w:rPr>
          <w:t>Prescribing information</w:t>
        </w:r>
      </w:hyperlink>
      <w:r w:rsidRPr="00197AB5">
        <w:rPr>
          <w:rFonts w:ascii="Helvetica" w:eastAsia="Times New Roman" w:hAnsi="Helvetica" w:cs="Helvetica"/>
          <w:color w:val="374248"/>
          <w:szCs w:val="24"/>
          <w:lang w:eastAsia="en-GB"/>
        </w:rPr>
        <w:t>.</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30"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Basis for recommendation</w:t>
      </w:r>
    </w:p>
    <w:p w:rsidR="00197AB5" w:rsidRPr="00197AB5" w:rsidRDefault="00197AB5" w:rsidP="00197AB5">
      <w:pPr>
        <w:numPr>
          <w:ilvl w:val="0"/>
          <w:numId w:val="8"/>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b/>
          <w:bCs/>
          <w:color w:val="374248"/>
          <w:szCs w:val="24"/>
          <w:lang w:eastAsia="en-GB"/>
        </w:rPr>
        <w:t>Vitamin B12 replacement treatment</w:t>
      </w:r>
    </w:p>
    <w:p w:rsidR="00197AB5" w:rsidRPr="00197AB5" w:rsidRDefault="00197AB5" w:rsidP="00197AB5">
      <w:pPr>
        <w:numPr>
          <w:ilvl w:val="1"/>
          <w:numId w:val="8"/>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Vitamin B12 replacement therapy is a </w:t>
      </w:r>
      <w:proofErr w:type="spellStart"/>
      <w:r w:rsidRPr="00197AB5">
        <w:rPr>
          <w:rFonts w:ascii="Helvetica" w:eastAsia="Times New Roman" w:hAnsi="Helvetica" w:cs="Helvetica"/>
          <w:color w:val="374248"/>
          <w:szCs w:val="24"/>
          <w:lang w:eastAsia="en-GB"/>
        </w:rPr>
        <w:t>well established</w:t>
      </w:r>
      <w:proofErr w:type="spellEnd"/>
      <w:r w:rsidRPr="00197AB5">
        <w:rPr>
          <w:rFonts w:ascii="Helvetica" w:eastAsia="Times New Roman" w:hAnsi="Helvetica" w:cs="Helvetica"/>
          <w:color w:val="374248"/>
          <w:szCs w:val="24"/>
          <w:lang w:eastAsia="en-GB"/>
        </w:rPr>
        <w:t xml:space="preserve"> standard treatment and this recommendation is supported by the British National Formulary [</w:t>
      </w:r>
      <w:hyperlink r:id="rId31" w:anchor="!references/-314396" w:history="1">
        <w:r w:rsidRPr="00197AB5">
          <w:rPr>
            <w:rFonts w:ascii="Helvetica" w:eastAsia="Times New Roman" w:hAnsi="Helvetica" w:cs="Helvetica"/>
            <w:color w:val="0093DA"/>
            <w:szCs w:val="24"/>
            <w:lang w:eastAsia="en-GB"/>
          </w:rPr>
          <w:t>BNF 64, 2012</w:t>
        </w:r>
      </w:hyperlink>
      <w:r w:rsidRPr="00197AB5">
        <w:rPr>
          <w:rFonts w:ascii="Helvetica" w:eastAsia="Times New Roman" w:hAnsi="Helvetica" w:cs="Helvetica"/>
          <w:color w:val="374248"/>
          <w:szCs w:val="24"/>
          <w:lang w:eastAsia="en-GB"/>
        </w:rPr>
        <w:t>], Summaries of Product Characteristics (SPCs) [</w:t>
      </w:r>
      <w:hyperlink r:id="rId32" w:anchor="!references/-314396" w:history="1">
        <w:r w:rsidRPr="00197AB5">
          <w:rPr>
            <w:rFonts w:ascii="Helvetica" w:eastAsia="Times New Roman" w:hAnsi="Helvetica" w:cs="Helvetica"/>
            <w:color w:val="0093DA"/>
            <w:szCs w:val="24"/>
            <w:lang w:eastAsia="en-GB"/>
          </w:rPr>
          <w:t>ABPI Medicines Compendium, 2002</w:t>
        </w:r>
      </w:hyperlink>
      <w:r w:rsidRPr="00197AB5">
        <w:rPr>
          <w:rFonts w:ascii="Helvetica" w:eastAsia="Times New Roman" w:hAnsi="Helvetica" w:cs="Helvetica"/>
          <w:color w:val="374248"/>
          <w:szCs w:val="24"/>
          <w:lang w:eastAsia="en-GB"/>
        </w:rPr>
        <w:t xml:space="preserve">; </w:t>
      </w:r>
      <w:hyperlink r:id="rId33" w:anchor="!references/-314396" w:history="1">
        <w:r w:rsidRPr="00197AB5">
          <w:rPr>
            <w:rFonts w:ascii="Helvetica" w:eastAsia="Times New Roman" w:hAnsi="Helvetica" w:cs="Helvetica"/>
            <w:color w:val="0093DA"/>
            <w:szCs w:val="24"/>
            <w:lang w:eastAsia="en-GB"/>
          </w:rPr>
          <w:t>ABPI Medicines Compendium, 2005</w:t>
        </w:r>
      </w:hyperlink>
      <w:r w:rsidRPr="00197AB5">
        <w:rPr>
          <w:rFonts w:ascii="Helvetica" w:eastAsia="Times New Roman" w:hAnsi="Helvetica" w:cs="Helvetica"/>
          <w:color w:val="374248"/>
          <w:szCs w:val="24"/>
          <w:lang w:eastAsia="en-GB"/>
        </w:rPr>
        <w:t>], a Canadian guideline [</w:t>
      </w:r>
      <w:hyperlink r:id="rId34" w:anchor="!references/-314396" w:history="1">
        <w:r w:rsidRPr="00197AB5">
          <w:rPr>
            <w:rFonts w:ascii="Helvetica" w:eastAsia="Times New Roman" w:hAnsi="Helvetica" w:cs="Helvetica"/>
            <w:color w:val="0093DA"/>
            <w:szCs w:val="24"/>
            <w:lang w:eastAsia="en-GB"/>
          </w:rPr>
          <w:t>British Columbia Medical Association, 2013</w:t>
        </w:r>
      </w:hyperlink>
      <w:r w:rsidRPr="00197AB5">
        <w:rPr>
          <w:rFonts w:ascii="Helvetica" w:eastAsia="Times New Roman" w:hAnsi="Helvetica" w:cs="Helvetica"/>
          <w:color w:val="374248"/>
          <w:szCs w:val="24"/>
          <w:lang w:eastAsia="en-GB"/>
        </w:rPr>
        <w:t>], and expert opinion in medical textbooks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et al, 2006</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xml:space="preserve">; </w:t>
      </w:r>
      <w:hyperlink r:id="rId35" w:anchor="!references/-314396" w:history="1">
        <w:proofErr w:type="spellStart"/>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1"/>
          <w:numId w:val="8"/>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Hydroxocobalamin is preferred to </w:t>
      </w:r>
      <w:proofErr w:type="spellStart"/>
      <w:r w:rsidRPr="00197AB5">
        <w:rPr>
          <w:rFonts w:ascii="Helvetica" w:eastAsia="Times New Roman" w:hAnsi="Helvetica" w:cs="Helvetica"/>
          <w:color w:val="374248"/>
          <w:szCs w:val="24"/>
          <w:lang w:eastAsia="en-GB"/>
        </w:rPr>
        <w:t>cyanocobalamin</w:t>
      </w:r>
      <w:proofErr w:type="spellEnd"/>
      <w:r w:rsidRPr="00197AB5">
        <w:rPr>
          <w:rFonts w:ascii="Helvetica" w:eastAsia="Times New Roman" w:hAnsi="Helvetica" w:cs="Helvetica"/>
          <w:color w:val="374248"/>
          <w:szCs w:val="24"/>
          <w:lang w:eastAsia="en-GB"/>
        </w:rPr>
        <w:t xml:space="preserve"> in the UK. This is because hydroxocobalamin can be given at maintenance dose intervals of up to 3 months, as it is retained in the body for longer [</w:t>
      </w:r>
      <w:hyperlink r:id="rId36" w:anchor="!references/-314396" w:history="1">
        <w:r w:rsidRPr="00197AB5">
          <w:rPr>
            <w:rFonts w:ascii="Helvetica" w:eastAsia="Times New Roman" w:hAnsi="Helvetica" w:cs="Helvetica"/>
            <w:color w:val="0093DA"/>
            <w:szCs w:val="24"/>
            <w:lang w:eastAsia="en-GB"/>
          </w:rPr>
          <w:t>BNF 64, 2012</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0"/>
          <w:numId w:val="8"/>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b/>
          <w:bCs/>
          <w:color w:val="374248"/>
          <w:szCs w:val="24"/>
          <w:lang w:eastAsia="en-GB"/>
        </w:rPr>
        <w:t>Dietary advice</w:t>
      </w:r>
    </w:p>
    <w:p w:rsidR="00197AB5" w:rsidRPr="00197AB5" w:rsidRDefault="00197AB5" w:rsidP="00197AB5">
      <w:pPr>
        <w:numPr>
          <w:ilvl w:val="1"/>
          <w:numId w:val="8"/>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The recommendation on vitamin B12 fortified foods is based on information from the national Expert Group on Minerals and Vitamins [</w:t>
      </w:r>
      <w:hyperlink r:id="rId37" w:anchor="!references/-314396" w:history="1">
        <w:r w:rsidRPr="00197AB5">
          <w:rPr>
            <w:rFonts w:ascii="Helvetica" w:eastAsia="Times New Roman" w:hAnsi="Helvetica" w:cs="Helvetica"/>
            <w:color w:val="0093DA"/>
            <w:szCs w:val="24"/>
            <w:lang w:eastAsia="en-GB"/>
          </w:rPr>
          <w:t>Expert Group of Vitamins and Minerals Secretariat, 2002</w:t>
        </w:r>
      </w:hyperlink>
      <w:r w:rsidRPr="00197AB5">
        <w:rPr>
          <w:rFonts w:ascii="Helvetica" w:eastAsia="Times New Roman" w:hAnsi="Helvetica" w:cs="Helvetica"/>
          <w:color w:val="374248"/>
          <w:szCs w:val="24"/>
          <w:lang w:eastAsia="en-GB"/>
        </w:rPr>
        <w:t>], a guidebook (</w:t>
      </w:r>
      <w:r w:rsidRPr="00197AB5">
        <w:rPr>
          <w:rFonts w:ascii="Helvetica" w:eastAsia="Times New Roman" w:hAnsi="Helvetica" w:cs="Helvetica"/>
          <w:i/>
          <w:iCs/>
          <w:color w:val="374248"/>
          <w:szCs w:val="24"/>
          <w:lang w:eastAsia="en-GB"/>
        </w:rPr>
        <w:t>Nutritional Anaemia</w:t>
      </w:r>
      <w:r w:rsidRPr="00197AB5">
        <w:rPr>
          <w:rFonts w:ascii="Helvetica" w:eastAsia="Times New Roman" w:hAnsi="Helvetica" w:cs="Helvetica"/>
          <w:color w:val="374248"/>
          <w:szCs w:val="24"/>
          <w:lang w:eastAsia="en-GB"/>
        </w:rPr>
        <w:t>)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Badham</w:t>
      </w:r>
      <w:proofErr w:type="spellEnd"/>
      <w:r w:rsidRPr="00197AB5">
        <w:rPr>
          <w:rFonts w:ascii="Helvetica" w:eastAsia="Times New Roman" w:hAnsi="Helvetica" w:cs="Helvetica"/>
          <w:color w:val="0093DA"/>
          <w:szCs w:val="24"/>
          <w:lang w:eastAsia="en-GB"/>
        </w:rPr>
        <w:t xml:space="preserve"> et al,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and on expert opinion from medical textbooks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et al, 2006</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xml:space="preserve">; </w:t>
      </w:r>
      <w:hyperlink r:id="rId38" w:anchor="!references/-314396" w:history="1">
        <w:proofErr w:type="spellStart"/>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1"/>
          <w:numId w:val="8"/>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Expert feedback suggests that dietary changes are unlikely to have an effect in the majority of people with pernicious anaemia.</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39"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Symptoms persist despite maintenance vitaminB12 treatment</w:t>
      </w:r>
    </w:p>
    <w:p w:rsidR="00197AB5" w:rsidRPr="00197AB5" w:rsidRDefault="00197AB5" w:rsidP="00197AB5">
      <w:pPr>
        <w:spacing w:after="360" w:line="360" w:lineRule="atLeast"/>
        <w:outlineLvl w:val="3"/>
        <w:rPr>
          <w:rFonts w:ascii="inherit" w:eastAsia="Times New Roman" w:hAnsi="inherit" w:cs="Helvetica"/>
          <w:b/>
          <w:bCs/>
          <w:color w:val="374248"/>
          <w:szCs w:val="24"/>
          <w:highlight w:val="yellow"/>
          <w:lang w:eastAsia="en-GB"/>
        </w:rPr>
      </w:pPr>
      <w:r w:rsidRPr="00197AB5">
        <w:rPr>
          <w:rFonts w:ascii="inherit" w:eastAsia="Times New Roman" w:hAnsi="inherit" w:cs="Helvetica"/>
          <w:b/>
          <w:bCs/>
          <w:color w:val="374248"/>
          <w:szCs w:val="24"/>
          <w:highlight w:val="yellow"/>
          <w:lang w:eastAsia="en-GB"/>
        </w:rPr>
        <w:t>What if a person is still symptomatic despite maintenance vitamin B12 treatment?</w:t>
      </w:r>
    </w:p>
    <w:p w:rsidR="00197AB5" w:rsidRPr="00197AB5" w:rsidRDefault="00197AB5" w:rsidP="00197AB5">
      <w:pPr>
        <w:numPr>
          <w:ilvl w:val="0"/>
          <w:numId w:val="9"/>
        </w:numPr>
        <w:spacing w:before="100" w:beforeAutospacing="1" w:after="100" w:afterAutospacing="1" w:line="360" w:lineRule="atLeast"/>
        <w:ind w:left="300"/>
        <w:rPr>
          <w:rFonts w:ascii="Helvetica" w:eastAsia="Times New Roman" w:hAnsi="Helvetica" w:cs="Helvetica"/>
          <w:color w:val="374248"/>
          <w:szCs w:val="24"/>
          <w:highlight w:val="yellow"/>
          <w:lang w:eastAsia="en-GB"/>
        </w:rPr>
      </w:pPr>
      <w:r w:rsidRPr="00197AB5">
        <w:rPr>
          <w:rFonts w:ascii="Helvetica" w:eastAsia="Times New Roman" w:hAnsi="Helvetica" w:cs="Helvetica"/>
          <w:color w:val="374248"/>
          <w:szCs w:val="24"/>
          <w:highlight w:val="yellow"/>
          <w:lang w:eastAsia="en-GB"/>
        </w:rPr>
        <w:t>If a person's symptoms recur before the next injection is due, seek specialist advice from a haematologist.</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40"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Basis for recommendation</w:t>
      </w:r>
    </w:p>
    <w:p w:rsidR="00197AB5" w:rsidRPr="00197AB5" w:rsidRDefault="00197AB5" w:rsidP="00197AB5">
      <w:pPr>
        <w:numPr>
          <w:ilvl w:val="0"/>
          <w:numId w:val="10"/>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Some experts acknowledge that there is a small group of patients who report a recurrence of their symptoms earlier than 3 monthly.</w:t>
      </w:r>
    </w:p>
    <w:p w:rsidR="00197AB5" w:rsidRPr="00197AB5" w:rsidRDefault="00197AB5" w:rsidP="00197AB5">
      <w:pPr>
        <w:numPr>
          <w:ilvl w:val="1"/>
          <w:numId w:val="10"/>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CKS could find no guidelines or evidence on the management of this group.</w:t>
      </w:r>
    </w:p>
    <w:p w:rsidR="00197AB5" w:rsidRPr="00197AB5" w:rsidRDefault="00197AB5" w:rsidP="00197AB5">
      <w:pPr>
        <w:numPr>
          <w:ilvl w:val="1"/>
          <w:numId w:val="10"/>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Feedback from expert reviewers differs with regard to whether or not more frequent intramuscular injections of hydroxocobalamin 1 mg are required, and if they </w:t>
      </w:r>
      <w:proofErr w:type="gramStart"/>
      <w:r w:rsidRPr="00197AB5">
        <w:rPr>
          <w:rFonts w:ascii="Helvetica" w:eastAsia="Times New Roman" w:hAnsi="Helvetica" w:cs="Helvetica"/>
          <w:color w:val="374248"/>
          <w:szCs w:val="24"/>
          <w:lang w:eastAsia="en-GB"/>
        </w:rPr>
        <w:t>are,</w:t>
      </w:r>
      <w:proofErr w:type="gramEnd"/>
      <w:r w:rsidRPr="00197AB5">
        <w:rPr>
          <w:rFonts w:ascii="Helvetica" w:eastAsia="Times New Roman" w:hAnsi="Helvetica" w:cs="Helvetica"/>
          <w:color w:val="374248"/>
          <w:szCs w:val="24"/>
          <w:lang w:eastAsia="en-GB"/>
        </w:rPr>
        <w:t xml:space="preserve"> what regimen to suggest.</w:t>
      </w:r>
    </w:p>
    <w:p w:rsidR="00197AB5" w:rsidRPr="00197AB5" w:rsidRDefault="00197AB5" w:rsidP="00197AB5">
      <w:pPr>
        <w:numPr>
          <w:ilvl w:val="1"/>
          <w:numId w:val="10"/>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In the absence of evidence and expert consensus, CKS suggest seeking specialist advice in this situation.</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41"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Treatment for folate deficiency</w:t>
      </w:r>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How should I treat a person with folate deficiency anaemia?</w:t>
      </w:r>
    </w:p>
    <w:p w:rsidR="00197AB5" w:rsidRPr="00197AB5" w:rsidRDefault="00197AB5" w:rsidP="00197AB5">
      <w:pPr>
        <w:numPr>
          <w:ilvl w:val="0"/>
          <w:numId w:val="1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Give dietary advice: good sources of folate are broccoli, Brussels sprouts, asparagus, peas, chickpeas, and brown rice.</w:t>
      </w:r>
    </w:p>
    <w:p w:rsidR="00197AB5" w:rsidRPr="00197AB5" w:rsidRDefault="00197AB5" w:rsidP="00197AB5">
      <w:pPr>
        <w:numPr>
          <w:ilvl w:val="0"/>
          <w:numId w:val="1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Prescribe oral folic acid 5 mg daily.</w:t>
      </w:r>
    </w:p>
    <w:p w:rsidR="00197AB5" w:rsidRPr="00197AB5" w:rsidRDefault="00197AB5" w:rsidP="00197AB5">
      <w:pPr>
        <w:numPr>
          <w:ilvl w:val="0"/>
          <w:numId w:val="1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Check vitamin B12levels in all people before starting folic acid, as treatment can improve well-being such that it can mask underlying B12 deficiency and allow neurological disease to develop.</w:t>
      </w:r>
    </w:p>
    <w:p w:rsidR="00197AB5" w:rsidRPr="00197AB5" w:rsidRDefault="00197AB5" w:rsidP="00197AB5">
      <w:pPr>
        <w:numPr>
          <w:ilvl w:val="0"/>
          <w:numId w:val="1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In most people, treatment will be required for 4 months. However, folic acid may need to be taken for longer (sometimes for life) if the underlying cause of deficiency is persistent.</w:t>
      </w:r>
    </w:p>
    <w:p w:rsidR="00197AB5" w:rsidRPr="00197AB5" w:rsidRDefault="00197AB5" w:rsidP="00197AB5">
      <w:pPr>
        <w:numPr>
          <w:ilvl w:val="0"/>
          <w:numId w:val="11"/>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For information on folic acid supplementation in pregnancy, see the CKS topic on </w:t>
      </w:r>
      <w:hyperlink r:id="rId42" w:history="1">
        <w:r w:rsidRPr="00197AB5">
          <w:rPr>
            <w:rFonts w:ascii="Helvetica" w:eastAsia="Times New Roman" w:hAnsi="Helvetica" w:cs="Helvetica"/>
            <w:color w:val="0093DA"/>
            <w:szCs w:val="24"/>
            <w:lang w:eastAsia="en-GB"/>
          </w:rPr>
          <w:t>Pre-conception - advice and management</w:t>
        </w:r>
      </w:hyperlink>
      <w:r w:rsidRPr="00197AB5">
        <w:rPr>
          <w:rFonts w:ascii="Helvetica" w:eastAsia="Times New Roman" w:hAnsi="Helvetica" w:cs="Helvetica"/>
          <w:color w:val="374248"/>
          <w:szCs w:val="24"/>
          <w:lang w:eastAsia="en-GB"/>
        </w:rPr>
        <w:t>.</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43"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Basis for recommendation</w:t>
      </w:r>
    </w:p>
    <w:p w:rsidR="00197AB5" w:rsidRPr="00197AB5" w:rsidRDefault="00197AB5" w:rsidP="00197AB5">
      <w:pPr>
        <w:numPr>
          <w:ilvl w:val="0"/>
          <w:numId w:val="1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The examples of good dietary sources of folate are from the Food Standards Agency [</w:t>
      </w:r>
      <w:hyperlink r:id="rId44" w:anchor="!references/-314396" w:history="1">
        <w:r w:rsidRPr="00197AB5">
          <w:rPr>
            <w:rFonts w:ascii="Helvetica" w:eastAsia="Times New Roman" w:hAnsi="Helvetica" w:cs="Helvetica"/>
            <w:color w:val="0093DA"/>
            <w:szCs w:val="24"/>
            <w:lang w:eastAsia="en-GB"/>
          </w:rPr>
          <w:t>Food Standards Agency, 2008</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0"/>
          <w:numId w:val="1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Folic acid supplementation is a well-established, standard treatment for folate deficiency, and this recommendation is supported by the British National Formulary [</w:t>
      </w:r>
      <w:hyperlink r:id="rId45" w:anchor="!references/-314396" w:history="1">
        <w:r w:rsidRPr="00197AB5">
          <w:rPr>
            <w:rFonts w:ascii="Helvetica" w:eastAsia="Times New Roman" w:hAnsi="Helvetica" w:cs="Helvetica"/>
            <w:color w:val="0093DA"/>
            <w:szCs w:val="24"/>
            <w:lang w:eastAsia="en-GB"/>
          </w:rPr>
          <w:t>BNF 64, 2012</w:t>
        </w:r>
      </w:hyperlink>
      <w:r w:rsidRPr="00197AB5">
        <w:rPr>
          <w:rFonts w:ascii="Helvetica" w:eastAsia="Times New Roman" w:hAnsi="Helvetica" w:cs="Helvetica"/>
          <w:color w:val="374248"/>
          <w:szCs w:val="24"/>
          <w:lang w:eastAsia="en-GB"/>
        </w:rPr>
        <w:t>], a Canadian guideline [</w:t>
      </w:r>
      <w:hyperlink r:id="rId46" w:anchor="!references/-314396" w:history="1">
        <w:r w:rsidRPr="00197AB5">
          <w:rPr>
            <w:rFonts w:ascii="Helvetica" w:eastAsia="Times New Roman" w:hAnsi="Helvetica" w:cs="Helvetica"/>
            <w:color w:val="0093DA"/>
            <w:szCs w:val="24"/>
            <w:lang w:eastAsia="en-GB"/>
          </w:rPr>
          <w:t>British Columbia Medical Association, 2013</w:t>
        </w:r>
      </w:hyperlink>
      <w:r w:rsidRPr="00197AB5">
        <w:rPr>
          <w:rFonts w:ascii="Helvetica" w:eastAsia="Times New Roman" w:hAnsi="Helvetica" w:cs="Helvetica"/>
          <w:color w:val="374248"/>
          <w:szCs w:val="24"/>
          <w:lang w:eastAsia="en-GB"/>
        </w:rPr>
        <w:t>], and expert opinion in medical textbooks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et al, 2006</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xml:space="preserve">; </w:t>
      </w:r>
      <w:hyperlink r:id="rId47" w:anchor="!references/-314396" w:history="1">
        <w:proofErr w:type="spellStart"/>
        <w:r w:rsidRPr="00197AB5">
          <w:rPr>
            <w:rFonts w:ascii="Helvetica" w:eastAsia="Times New Roman" w:hAnsi="Helvetica" w:cs="Helvetica"/>
            <w:color w:val="0093DA"/>
            <w:szCs w:val="24"/>
            <w:lang w:eastAsia="en-GB"/>
          </w:rPr>
          <w:t>Hoffbrand</w:t>
        </w:r>
        <w:proofErr w:type="spellEnd"/>
        <w:r w:rsidRPr="00197AB5">
          <w:rPr>
            <w:rFonts w:ascii="Helvetica" w:eastAsia="Times New Roman" w:hAnsi="Helvetica" w:cs="Helvetica"/>
            <w:color w:val="0093DA"/>
            <w:szCs w:val="24"/>
            <w:lang w:eastAsia="en-GB"/>
          </w:rPr>
          <w:t xml:space="preserve"> and </w:t>
        </w:r>
        <w:proofErr w:type="spellStart"/>
        <w:r w:rsidRPr="00197AB5">
          <w:rPr>
            <w:rFonts w:ascii="Helvetica" w:eastAsia="Times New Roman" w:hAnsi="Helvetica" w:cs="Helvetica"/>
            <w:color w:val="0093DA"/>
            <w:szCs w:val="24"/>
            <w:lang w:eastAsia="en-GB"/>
          </w:rPr>
          <w:t>Provan</w:t>
        </w:r>
        <w:proofErr w:type="spellEnd"/>
        <w:r w:rsidRPr="00197AB5">
          <w:rPr>
            <w:rFonts w:ascii="Helvetica" w:eastAsia="Times New Roman" w:hAnsi="Helvetica" w:cs="Helvetica"/>
            <w:color w:val="0093DA"/>
            <w:szCs w:val="24"/>
            <w:lang w:eastAsia="en-GB"/>
          </w:rPr>
          <w:t>, 2007</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0"/>
          <w:numId w:val="1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Treatment with folic acid usually results in a rapid improvement in symptoms. In most people, treatment will be needed for only 4 months, as poor diet is the most common cause [</w:t>
      </w:r>
      <w:hyperlink r:id="rId48" w:anchor="!references/-314396" w:history="1">
        <w:r w:rsidRPr="00197AB5">
          <w:rPr>
            <w:rFonts w:ascii="Helvetica" w:eastAsia="Times New Roman" w:hAnsi="Helvetica" w:cs="Helvetica"/>
            <w:color w:val="0093DA"/>
            <w:szCs w:val="24"/>
            <w:lang w:eastAsia="en-GB"/>
          </w:rPr>
          <w:t>BNF 64, 2012</w:t>
        </w:r>
      </w:hyperlink>
      <w:r w:rsidRPr="00197AB5">
        <w:rPr>
          <w:rFonts w:ascii="Helvetica" w:eastAsia="Times New Roman" w:hAnsi="Helvetica" w:cs="Helvetica"/>
          <w:color w:val="374248"/>
          <w:szCs w:val="24"/>
          <w:lang w:eastAsia="en-GB"/>
        </w:rPr>
        <w:t>]. Folic acid supplementation for 4 months brings about haematological remission and replenishes body stores.</w:t>
      </w:r>
    </w:p>
    <w:p w:rsidR="00197AB5" w:rsidRPr="00197AB5" w:rsidRDefault="00197AB5" w:rsidP="00197AB5">
      <w:pPr>
        <w:numPr>
          <w:ilvl w:val="0"/>
          <w:numId w:val="1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Vitamin B12deficiency should be excluded before presuming that a macrocytic anaemia is due to a folate deficiency. If the underlying cause is actually vitamin B12 deficiency but treatment with more than 1 mg folic acid a day is given, this can give the impression that the anaemia has been successfully treated, but vitamin B12 neuropathy will progress and may become irreversible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Badham</w:t>
      </w:r>
      <w:proofErr w:type="spellEnd"/>
      <w:r w:rsidRPr="00197AB5">
        <w:rPr>
          <w:rFonts w:ascii="Helvetica" w:eastAsia="Times New Roman" w:hAnsi="Helvetica" w:cs="Helvetica"/>
          <w:color w:val="0093DA"/>
          <w:szCs w:val="24"/>
          <w:lang w:eastAsia="en-GB"/>
        </w:rPr>
        <w:t xml:space="preserve"> et al, 2007</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197AB5" w:rsidRPr="00197AB5" w:rsidRDefault="00197AB5" w:rsidP="00197AB5">
      <w:pPr>
        <w:numPr>
          <w:ilvl w:val="0"/>
          <w:numId w:val="12"/>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Concerns have been expressed in recent literature about the potential for harms with long-term supplementation with high folic acid doses [</w:t>
      </w:r>
      <w:hyperlink r:id="rId49" w:anchor="!references/-314396" w:history="1">
        <w:r w:rsidRPr="00197AB5">
          <w:rPr>
            <w:rFonts w:ascii="Helvetica" w:eastAsia="Times New Roman" w:hAnsi="Helvetica" w:cs="Helvetica"/>
            <w:color w:val="0093DA"/>
            <w:szCs w:val="24"/>
            <w:lang w:eastAsia="en-GB"/>
          </w:rPr>
          <w:t>Powers, 2007</w:t>
        </w:r>
      </w:hyperlink>
      <w:r w:rsidRPr="00197AB5">
        <w:rPr>
          <w:rFonts w:ascii="Helvetica" w:eastAsia="Times New Roman" w:hAnsi="Helvetica" w:cs="Helvetica"/>
          <w:color w:val="374248"/>
          <w:szCs w:val="24"/>
          <w:lang w:eastAsia="en-GB"/>
        </w:rPr>
        <w:t>]:</w:t>
      </w:r>
    </w:p>
    <w:p w:rsidR="00197AB5" w:rsidRPr="00197AB5" w:rsidRDefault="00197AB5" w:rsidP="00197AB5">
      <w:pPr>
        <w:numPr>
          <w:ilvl w:val="1"/>
          <w:numId w:val="12"/>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 possible link has been found with folic acid and an increase in the progression rate of pre-cancerous lesions to cancer (particularly colorectal cancer). However, there is inadequate evidence from human trials to confirm this.</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50"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2"/>
        <w:rPr>
          <w:rFonts w:ascii="inherit" w:eastAsia="Times New Roman" w:hAnsi="inherit" w:cs="Helvetica"/>
          <w:color w:val="374248"/>
          <w:sz w:val="30"/>
          <w:szCs w:val="30"/>
          <w:lang w:eastAsia="en-GB"/>
        </w:rPr>
      </w:pPr>
      <w:r w:rsidRPr="00197AB5">
        <w:rPr>
          <w:rFonts w:ascii="inherit" w:eastAsia="Times New Roman" w:hAnsi="inherit" w:cs="Helvetica"/>
          <w:color w:val="374248"/>
          <w:sz w:val="30"/>
          <w:szCs w:val="30"/>
          <w:lang w:eastAsia="en-GB"/>
        </w:rPr>
        <w:t>Monitoring</w:t>
      </w:r>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What monitoring of vitamin B12 or folate deficiency treatment is recommended?</w:t>
      </w:r>
    </w:p>
    <w:p w:rsidR="00197AB5" w:rsidRPr="00C57978" w:rsidRDefault="00197AB5" w:rsidP="00197AB5">
      <w:pPr>
        <w:numPr>
          <w:ilvl w:val="0"/>
          <w:numId w:val="13"/>
        </w:numPr>
        <w:spacing w:before="100" w:beforeAutospacing="1" w:after="100" w:afterAutospacing="1" w:line="360" w:lineRule="atLeast"/>
        <w:ind w:left="300"/>
        <w:rPr>
          <w:rFonts w:ascii="Helvetica" w:eastAsia="Times New Roman" w:hAnsi="Helvetica" w:cs="Helvetica"/>
          <w:color w:val="374248"/>
          <w:szCs w:val="24"/>
          <w:lang w:eastAsia="en-GB"/>
        </w:rPr>
      </w:pPr>
      <w:r w:rsidRPr="00C57978">
        <w:rPr>
          <w:rFonts w:ascii="Helvetica" w:eastAsia="Times New Roman" w:hAnsi="Helvetica" w:cs="Helvetica"/>
          <w:color w:val="374248"/>
          <w:szCs w:val="24"/>
          <w:lang w:eastAsia="en-GB"/>
        </w:rPr>
        <w:t>A full blood count and reticulocyte count should be performed:</w:t>
      </w:r>
    </w:p>
    <w:p w:rsidR="00197AB5" w:rsidRPr="00197AB5" w:rsidRDefault="00197AB5" w:rsidP="00197AB5">
      <w:pPr>
        <w:numPr>
          <w:ilvl w:val="1"/>
          <w:numId w:val="13"/>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After approximately 10 days of treatment, to document the response.</w:t>
      </w:r>
    </w:p>
    <w:p w:rsidR="00197AB5" w:rsidRPr="00197AB5" w:rsidRDefault="00197AB5" w:rsidP="00197AB5">
      <w:pPr>
        <w:numPr>
          <w:ilvl w:val="2"/>
          <w:numId w:val="13"/>
        </w:numPr>
        <w:spacing w:before="100" w:beforeAutospacing="1" w:after="100" w:afterAutospacing="1" w:line="360" w:lineRule="atLeast"/>
        <w:ind w:left="9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A rise in the haemoglobin level, and an increase in the reticulocyte count to </w:t>
      </w:r>
      <w:bookmarkStart w:id="0" w:name="_GoBack"/>
      <w:r w:rsidRPr="00197AB5">
        <w:rPr>
          <w:rFonts w:ascii="Helvetica" w:eastAsia="Times New Roman" w:hAnsi="Helvetica" w:cs="Helvetica"/>
          <w:color w:val="374248"/>
          <w:szCs w:val="24"/>
          <w:lang w:eastAsia="en-GB"/>
        </w:rPr>
        <w:t xml:space="preserve">above the normal range, would be expected as a sign of a positive treatment </w:t>
      </w:r>
      <w:bookmarkEnd w:id="0"/>
      <w:r w:rsidRPr="00197AB5">
        <w:rPr>
          <w:rFonts w:ascii="Helvetica" w:eastAsia="Times New Roman" w:hAnsi="Helvetica" w:cs="Helvetica"/>
          <w:color w:val="374248"/>
          <w:szCs w:val="24"/>
          <w:lang w:eastAsia="en-GB"/>
        </w:rPr>
        <w:t>effect.</w:t>
      </w:r>
    </w:p>
    <w:p w:rsidR="00197AB5" w:rsidRPr="00C57978" w:rsidRDefault="00197AB5" w:rsidP="00197AB5">
      <w:pPr>
        <w:numPr>
          <w:ilvl w:val="2"/>
          <w:numId w:val="13"/>
        </w:numPr>
        <w:spacing w:before="100" w:beforeAutospacing="1" w:after="100" w:afterAutospacing="1" w:line="360" w:lineRule="atLeast"/>
        <w:ind w:left="900"/>
        <w:rPr>
          <w:rFonts w:ascii="Helvetica" w:eastAsia="Times New Roman" w:hAnsi="Helvetica" w:cs="Helvetica"/>
          <w:color w:val="374248"/>
          <w:szCs w:val="24"/>
          <w:lang w:eastAsia="en-GB"/>
        </w:rPr>
      </w:pPr>
      <w:r w:rsidRPr="00C57978">
        <w:rPr>
          <w:rFonts w:ascii="Helvetica" w:eastAsia="Times New Roman" w:hAnsi="Helvetica" w:cs="Helvetica"/>
          <w:color w:val="374248"/>
          <w:szCs w:val="24"/>
          <w:lang w:eastAsia="en-GB"/>
        </w:rPr>
        <w:t>If the person has vitamin B12 deficiency anaemia and there is no improvement with therapy, check serum folate level (if this has not already been done).</w:t>
      </w:r>
    </w:p>
    <w:p w:rsidR="00197AB5" w:rsidRPr="00197AB5" w:rsidRDefault="00197AB5" w:rsidP="00197AB5">
      <w:pPr>
        <w:numPr>
          <w:ilvl w:val="1"/>
          <w:numId w:val="13"/>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After 8 weeks, to confirm a normal blood count.</w:t>
      </w:r>
    </w:p>
    <w:p w:rsidR="00197AB5" w:rsidRPr="00197AB5" w:rsidRDefault="00197AB5" w:rsidP="00197AB5">
      <w:pPr>
        <w:numPr>
          <w:ilvl w:val="1"/>
          <w:numId w:val="13"/>
        </w:numPr>
        <w:spacing w:before="100" w:beforeAutospacing="1" w:after="100" w:afterAutospacing="1" w:line="360" w:lineRule="atLeast"/>
        <w:ind w:left="6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On completion of folic acid treatment, to confirm a response.</w:t>
      </w:r>
    </w:p>
    <w:p w:rsidR="00197AB5" w:rsidRPr="00197AB5" w:rsidRDefault="00197AB5" w:rsidP="00197AB5">
      <w:pPr>
        <w:numPr>
          <w:ilvl w:val="0"/>
          <w:numId w:val="13"/>
        </w:numPr>
        <w:spacing w:before="100" w:beforeAutospacing="1" w:after="100" w:afterAutospacing="1" w:line="360" w:lineRule="atLeast"/>
        <w:ind w:left="300"/>
        <w:rPr>
          <w:rFonts w:ascii="Helvetica" w:eastAsia="Times New Roman" w:hAnsi="Helvetica" w:cs="Helvetica"/>
          <w:color w:val="374248"/>
          <w:szCs w:val="24"/>
          <w:lang w:eastAsia="en-GB"/>
        </w:rPr>
      </w:pPr>
      <w:proofErr w:type="spellStart"/>
      <w:r w:rsidRPr="00197AB5">
        <w:rPr>
          <w:rFonts w:ascii="Helvetica" w:eastAsia="Times New Roman" w:hAnsi="Helvetica" w:cs="Helvetica"/>
          <w:color w:val="374248"/>
          <w:szCs w:val="24"/>
          <w:lang w:eastAsia="en-GB"/>
        </w:rPr>
        <w:t>Ongoing</w:t>
      </w:r>
      <w:proofErr w:type="spellEnd"/>
      <w:r w:rsidRPr="00197AB5">
        <w:rPr>
          <w:rFonts w:ascii="Helvetica" w:eastAsia="Times New Roman" w:hAnsi="Helvetica" w:cs="Helvetica"/>
          <w:color w:val="374248"/>
          <w:szCs w:val="24"/>
          <w:lang w:eastAsia="en-GB"/>
        </w:rPr>
        <w:t xml:space="preserve"> monitoring of people being treated with vitamin B12 or folic acid is generally considered unnecessary (unless a lack of compliance with folate treatment is suspected, or anaemia recurs).</w:t>
      </w:r>
    </w:p>
    <w:p w:rsidR="00197AB5" w:rsidRPr="00197AB5" w:rsidRDefault="000B69C0" w:rsidP="00197AB5">
      <w:pPr>
        <w:spacing w:after="0" w:line="360" w:lineRule="atLeast"/>
        <w:rPr>
          <w:rFonts w:ascii="Helvetica" w:eastAsia="Times New Roman" w:hAnsi="Helvetica" w:cs="Helvetica"/>
          <w:color w:val="374248"/>
          <w:szCs w:val="24"/>
          <w:lang w:eastAsia="en-GB"/>
        </w:rPr>
      </w:pPr>
      <w:hyperlink r:id="rId51" w:anchor="top" w:history="1">
        <w:r w:rsidR="00197AB5" w:rsidRPr="00197AB5">
          <w:rPr>
            <w:rFonts w:ascii="Helvetica" w:eastAsia="Times New Roman" w:hAnsi="Helvetica" w:cs="Helvetica"/>
            <w:color w:val="0093DA"/>
            <w:szCs w:val="24"/>
            <w:lang w:eastAsia="en-GB"/>
          </w:rPr>
          <w:t>Back to top</w:t>
        </w:r>
      </w:hyperlink>
    </w:p>
    <w:p w:rsidR="00197AB5" w:rsidRPr="00197AB5" w:rsidRDefault="00197AB5" w:rsidP="00197AB5">
      <w:pPr>
        <w:spacing w:after="360" w:line="360" w:lineRule="atLeast"/>
        <w:outlineLvl w:val="3"/>
        <w:rPr>
          <w:rFonts w:ascii="inherit" w:eastAsia="Times New Roman" w:hAnsi="inherit" w:cs="Helvetica"/>
          <w:b/>
          <w:bCs/>
          <w:color w:val="374248"/>
          <w:szCs w:val="24"/>
          <w:lang w:eastAsia="en-GB"/>
        </w:rPr>
      </w:pPr>
      <w:r w:rsidRPr="00197AB5">
        <w:rPr>
          <w:rFonts w:ascii="inherit" w:eastAsia="Times New Roman" w:hAnsi="inherit" w:cs="Helvetica"/>
          <w:b/>
          <w:bCs/>
          <w:color w:val="374248"/>
          <w:szCs w:val="24"/>
          <w:lang w:eastAsia="en-GB"/>
        </w:rPr>
        <w:t>Basis for recommendation</w:t>
      </w:r>
    </w:p>
    <w:p w:rsidR="00197AB5" w:rsidRPr="00197AB5" w:rsidRDefault="00197AB5" w:rsidP="00197AB5">
      <w:pPr>
        <w:spacing w:after="360" w:line="360" w:lineRule="atLeast"/>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These monitoring recommendations are based on available guidelines [</w:t>
      </w:r>
      <w:hyperlink r:id="rId52" w:anchor="!references/-314396" w:history="1">
        <w:r w:rsidRPr="00197AB5">
          <w:rPr>
            <w:rFonts w:ascii="Helvetica" w:eastAsia="Times New Roman" w:hAnsi="Helvetica" w:cs="Helvetica"/>
            <w:color w:val="0093DA"/>
            <w:szCs w:val="24"/>
            <w:lang w:eastAsia="en-GB"/>
          </w:rPr>
          <w:t>Hutchinson, 2006</w:t>
        </w:r>
      </w:hyperlink>
      <w:r w:rsidRPr="00197AB5">
        <w:rPr>
          <w:rFonts w:ascii="Helvetica" w:eastAsia="Times New Roman" w:hAnsi="Helvetica" w:cs="Helvetica"/>
          <w:color w:val="374248"/>
          <w:szCs w:val="24"/>
          <w:lang w:eastAsia="en-GB"/>
        </w:rPr>
        <w:t>], a Best Practice Review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Smellie</w:t>
      </w:r>
      <w:proofErr w:type="spellEnd"/>
      <w:r w:rsidRPr="00197AB5">
        <w:rPr>
          <w:rFonts w:ascii="Helvetica" w:eastAsia="Times New Roman" w:hAnsi="Helvetica" w:cs="Helvetica"/>
          <w:color w:val="0093DA"/>
          <w:szCs w:val="24"/>
          <w:lang w:eastAsia="en-GB"/>
        </w:rPr>
        <w:t xml:space="preserve"> et al, 2005</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 xml:space="preserve">], an article on the pitfalls of testing for </w:t>
      </w:r>
      <w:proofErr w:type="spellStart"/>
      <w:r w:rsidRPr="00197AB5">
        <w:rPr>
          <w:rFonts w:ascii="Helvetica" w:eastAsia="Times New Roman" w:hAnsi="Helvetica" w:cs="Helvetica"/>
          <w:color w:val="374248"/>
          <w:szCs w:val="24"/>
          <w:lang w:eastAsia="en-GB"/>
        </w:rPr>
        <w:t>macrocytosis</w:t>
      </w:r>
      <w:proofErr w:type="spellEnd"/>
      <w:r w:rsidRPr="00197AB5">
        <w:rPr>
          <w:rFonts w:ascii="Helvetica" w:eastAsia="Times New Roman" w:hAnsi="Helvetica" w:cs="Helvetica"/>
          <w:color w:val="374248"/>
          <w:szCs w:val="24"/>
          <w:lang w:eastAsia="en-GB"/>
        </w:rPr>
        <w:t xml:space="preserve"> [</w:t>
      </w:r>
      <w:hyperlink r:id="rId53" w:anchor="!references/-314396" w:history="1">
        <w:r w:rsidRPr="00197AB5">
          <w:rPr>
            <w:rFonts w:ascii="Helvetica" w:eastAsia="Times New Roman" w:hAnsi="Helvetica" w:cs="Helvetica"/>
            <w:color w:val="0093DA"/>
            <w:szCs w:val="24"/>
            <w:lang w:eastAsia="en-GB"/>
          </w:rPr>
          <w:t>Galloway and Hamilton, 2007</w:t>
        </w:r>
      </w:hyperlink>
      <w:r w:rsidRPr="00197AB5">
        <w:rPr>
          <w:rFonts w:ascii="Helvetica" w:eastAsia="Times New Roman" w:hAnsi="Helvetica" w:cs="Helvetica"/>
          <w:color w:val="374248"/>
          <w:szCs w:val="24"/>
          <w:lang w:eastAsia="en-GB"/>
        </w:rPr>
        <w:t>], the British National Formulary [</w:t>
      </w:r>
      <w:hyperlink r:id="rId54" w:anchor="!references/-314396" w:history="1">
        <w:r w:rsidRPr="00197AB5">
          <w:rPr>
            <w:rFonts w:ascii="Helvetica" w:eastAsia="Times New Roman" w:hAnsi="Helvetica" w:cs="Helvetica"/>
            <w:color w:val="0093DA"/>
            <w:szCs w:val="24"/>
            <w:lang w:eastAsia="en-GB"/>
          </w:rPr>
          <w:t>BNF 64, 2012</w:t>
        </w:r>
      </w:hyperlink>
      <w:r w:rsidRPr="00197AB5">
        <w:rPr>
          <w:rFonts w:ascii="Helvetica" w:eastAsia="Times New Roman" w:hAnsi="Helvetica" w:cs="Helvetica"/>
          <w:color w:val="374248"/>
          <w:szCs w:val="24"/>
          <w:lang w:eastAsia="en-GB"/>
        </w:rPr>
        <w:t>], and pharmaceutical manufacturers advice [</w:t>
      </w:r>
      <w:hyperlink r:id="rId55" w:anchor="!references/-314396" w:history="1">
        <w:r w:rsidRPr="00197AB5">
          <w:rPr>
            <w:rFonts w:ascii="Helvetica" w:eastAsia="Times New Roman" w:hAnsi="Helvetica" w:cs="Helvetica"/>
            <w:color w:val="0093DA"/>
            <w:szCs w:val="24"/>
            <w:lang w:eastAsia="en-GB"/>
          </w:rPr>
          <w:t>ABPI Medicines Compendium, 2012a</w:t>
        </w:r>
      </w:hyperlink>
      <w:r w:rsidRPr="00197AB5">
        <w:rPr>
          <w:rFonts w:ascii="Helvetica" w:eastAsia="Times New Roman" w:hAnsi="Helvetica" w:cs="Helvetica"/>
          <w:color w:val="374248"/>
          <w:szCs w:val="24"/>
          <w:lang w:eastAsia="en-GB"/>
        </w:rPr>
        <w:t>]. Feedback from expert reviewers was also taken into account.</w:t>
      </w:r>
    </w:p>
    <w:p w:rsidR="00197AB5" w:rsidRDefault="00197AB5" w:rsidP="00197AB5">
      <w:pPr>
        <w:numPr>
          <w:ilvl w:val="0"/>
          <w:numId w:val="14"/>
        </w:numPr>
        <w:spacing w:before="100" w:beforeAutospacing="1" w:after="100" w:afterAutospacing="1" w:line="360" w:lineRule="atLeast"/>
        <w:ind w:left="300"/>
        <w:rPr>
          <w:rFonts w:ascii="Helvetica" w:eastAsia="Times New Roman" w:hAnsi="Helvetica" w:cs="Helvetica"/>
          <w:color w:val="374248"/>
          <w:szCs w:val="24"/>
          <w:lang w:eastAsia="en-GB"/>
        </w:rPr>
      </w:pPr>
      <w:r w:rsidRPr="00197AB5">
        <w:rPr>
          <w:rFonts w:ascii="Helvetica" w:eastAsia="Times New Roman" w:hAnsi="Helvetica" w:cs="Helvetica"/>
          <w:color w:val="374248"/>
          <w:szCs w:val="24"/>
          <w:lang w:eastAsia="en-GB"/>
        </w:rPr>
        <w:t xml:space="preserve">The manufacturer states that regular monitoring of the blood is advisable, as hydroxocobalamin should not be given before a </w:t>
      </w:r>
      <w:proofErr w:type="spellStart"/>
      <w:r w:rsidRPr="00197AB5">
        <w:rPr>
          <w:rFonts w:ascii="Helvetica" w:eastAsia="Times New Roman" w:hAnsi="Helvetica" w:cs="Helvetica"/>
          <w:color w:val="374248"/>
          <w:szCs w:val="24"/>
          <w:lang w:eastAsia="en-GB"/>
        </w:rPr>
        <w:t>megaloblastic</w:t>
      </w:r>
      <w:proofErr w:type="spellEnd"/>
      <w:r w:rsidRPr="00197AB5">
        <w:rPr>
          <w:rFonts w:ascii="Helvetica" w:eastAsia="Times New Roman" w:hAnsi="Helvetica" w:cs="Helvetica"/>
          <w:color w:val="374248"/>
          <w:szCs w:val="24"/>
          <w:lang w:eastAsia="en-GB"/>
        </w:rPr>
        <w:t xml:space="preserve"> marrow has been demonstrated [</w:t>
      </w:r>
      <w:hyperlink r:id="rId56" w:anchor="!references/-314396" w:history="1">
        <w:r w:rsidRPr="00197AB5">
          <w:rPr>
            <w:rFonts w:ascii="Helvetica" w:eastAsia="Times New Roman" w:hAnsi="Helvetica" w:cs="Helvetica"/>
            <w:color w:val="0093DA"/>
            <w:szCs w:val="24"/>
            <w:lang w:eastAsia="en-GB"/>
          </w:rPr>
          <w:t>ABPI Medicines Compendium, 2012a</w:t>
        </w:r>
      </w:hyperlink>
      <w:r w:rsidRPr="00197AB5">
        <w:rPr>
          <w:rFonts w:ascii="Helvetica" w:eastAsia="Times New Roman" w:hAnsi="Helvetica" w:cs="Helvetica"/>
          <w:color w:val="374248"/>
          <w:szCs w:val="24"/>
          <w:lang w:eastAsia="en-GB"/>
        </w:rPr>
        <w:t>]. However, expert opinion in a Best Practice review is that people with pernicious anaemia who receive vitamin B12 replacement should not become vitamin B12 deficient, therefore in most cases further monitoring would seem unnecessary, although practices vary and some haematologists would recommend annual full blood counts [</w:t>
      </w:r>
      <w:proofErr w:type="spellStart"/>
      <w:r w:rsidRPr="00197AB5">
        <w:rPr>
          <w:rFonts w:ascii="Helvetica" w:eastAsia="Times New Roman" w:hAnsi="Helvetica" w:cs="Helvetica"/>
          <w:color w:val="374248"/>
          <w:szCs w:val="24"/>
          <w:lang w:eastAsia="en-GB"/>
        </w:rPr>
        <w:fldChar w:fldCharType="begin"/>
      </w:r>
      <w:r w:rsidRPr="00197AB5">
        <w:rPr>
          <w:rFonts w:ascii="Helvetica" w:eastAsia="Times New Roman" w:hAnsi="Helvetica" w:cs="Helvetica"/>
          <w:color w:val="374248"/>
          <w:szCs w:val="24"/>
          <w:lang w:eastAsia="en-GB"/>
        </w:rPr>
        <w:instrText xml:space="preserve"> HYPERLINK "http://cks.nice.org.uk/anaemia-b12-and-folate-deficiency" \l "!references/-314396" </w:instrText>
      </w:r>
      <w:r w:rsidRPr="00197AB5">
        <w:rPr>
          <w:rFonts w:ascii="Helvetica" w:eastAsia="Times New Roman" w:hAnsi="Helvetica" w:cs="Helvetica"/>
          <w:color w:val="374248"/>
          <w:szCs w:val="24"/>
          <w:lang w:eastAsia="en-GB"/>
        </w:rPr>
        <w:fldChar w:fldCharType="separate"/>
      </w:r>
      <w:r w:rsidRPr="00197AB5">
        <w:rPr>
          <w:rFonts w:ascii="Helvetica" w:eastAsia="Times New Roman" w:hAnsi="Helvetica" w:cs="Helvetica"/>
          <w:color w:val="0093DA"/>
          <w:szCs w:val="24"/>
          <w:lang w:eastAsia="en-GB"/>
        </w:rPr>
        <w:t>Smellie</w:t>
      </w:r>
      <w:proofErr w:type="spellEnd"/>
      <w:r w:rsidRPr="00197AB5">
        <w:rPr>
          <w:rFonts w:ascii="Helvetica" w:eastAsia="Times New Roman" w:hAnsi="Helvetica" w:cs="Helvetica"/>
          <w:color w:val="0093DA"/>
          <w:szCs w:val="24"/>
          <w:lang w:eastAsia="en-GB"/>
        </w:rPr>
        <w:t xml:space="preserve"> et al, 2005</w:t>
      </w:r>
      <w:r w:rsidRPr="00197AB5">
        <w:rPr>
          <w:rFonts w:ascii="Helvetica" w:eastAsia="Times New Roman" w:hAnsi="Helvetica" w:cs="Helvetica"/>
          <w:color w:val="374248"/>
          <w:szCs w:val="24"/>
          <w:lang w:eastAsia="en-GB"/>
        </w:rPr>
        <w:fldChar w:fldCharType="end"/>
      </w:r>
      <w:r w:rsidRPr="00197AB5">
        <w:rPr>
          <w:rFonts w:ascii="Helvetica" w:eastAsia="Times New Roman" w:hAnsi="Helvetica" w:cs="Helvetica"/>
          <w:color w:val="374248"/>
          <w:szCs w:val="24"/>
          <w:lang w:eastAsia="en-GB"/>
        </w:rPr>
        <w:t>].</w:t>
      </w:r>
    </w:p>
    <w:p w:rsidR="004E09C7" w:rsidRDefault="004E09C7">
      <w:pPr>
        <w:spacing w:after="200" w:line="276" w:lineRule="auto"/>
        <w:rPr>
          <w:rFonts w:ascii="Helvetica" w:eastAsia="Times New Roman" w:hAnsi="Helvetica" w:cs="Helvetica"/>
          <w:color w:val="374248"/>
          <w:szCs w:val="24"/>
          <w:lang w:eastAsia="en-GB"/>
        </w:rPr>
      </w:pPr>
      <w:r>
        <w:rPr>
          <w:rFonts w:ascii="Helvetica" w:eastAsia="Times New Roman" w:hAnsi="Helvetica" w:cs="Helvetica"/>
          <w:color w:val="374248"/>
          <w:szCs w:val="24"/>
          <w:lang w:eastAsia="en-GB"/>
        </w:rPr>
        <w:br w:type="page"/>
      </w:r>
    </w:p>
    <w:p w:rsidR="004E09C7" w:rsidRPr="004E09C7" w:rsidRDefault="004E09C7" w:rsidP="004E09C7">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4E09C7">
        <w:rPr>
          <w:rFonts w:ascii="Times New Roman" w:eastAsia="Times New Roman" w:hAnsi="Times New Roman" w:cs="Times New Roman"/>
          <w:b/>
          <w:bCs/>
          <w:kern w:val="36"/>
          <w:sz w:val="48"/>
          <w:szCs w:val="48"/>
          <w:lang w:eastAsia="en-GB"/>
        </w:rPr>
        <w:t>Anaemia - B12 and folate deficiency</w:t>
      </w:r>
    </w:p>
    <w:p w:rsidR="004E09C7" w:rsidRPr="004E09C7" w:rsidRDefault="004E09C7" w:rsidP="004E09C7">
      <w:pPr>
        <w:spacing w:after="0"/>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Last revised in July 2015 </w:t>
      </w:r>
      <w:hyperlink r:id="rId57" w:anchor="top" w:history="1">
        <w:r w:rsidRPr="004E09C7">
          <w:rPr>
            <w:rFonts w:ascii="Times New Roman" w:eastAsia="Times New Roman" w:hAnsi="Times New Roman" w:cs="Times New Roman"/>
            <w:color w:val="0000FF"/>
            <w:szCs w:val="24"/>
            <w:u w:val="single"/>
            <w:lang w:eastAsia="en-GB"/>
          </w:rPr>
          <w:t>Back to top</w:t>
        </w:r>
      </w:hyperlink>
    </w:p>
    <w:p w:rsidR="004E09C7" w:rsidRPr="004E09C7" w:rsidRDefault="004E09C7" w:rsidP="004E09C7">
      <w:pPr>
        <w:spacing w:before="100" w:beforeAutospacing="1" w:after="100" w:afterAutospacing="1"/>
        <w:outlineLvl w:val="1"/>
        <w:rPr>
          <w:rFonts w:ascii="Times New Roman" w:eastAsia="Times New Roman" w:hAnsi="Times New Roman" w:cs="Times New Roman"/>
          <w:b/>
          <w:bCs/>
          <w:sz w:val="36"/>
          <w:szCs w:val="36"/>
          <w:lang w:eastAsia="en-GB"/>
        </w:rPr>
      </w:pPr>
      <w:r w:rsidRPr="004E09C7">
        <w:rPr>
          <w:rFonts w:ascii="Times New Roman" w:eastAsia="Times New Roman" w:hAnsi="Times New Roman" w:cs="Times New Roman"/>
          <w:b/>
          <w:bCs/>
          <w:sz w:val="36"/>
          <w:szCs w:val="36"/>
          <w:lang w:eastAsia="en-GB"/>
        </w:rPr>
        <w:t>Anaemia - B12 and folate deficiency - Summary</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Deficiency of vitamin B12 or folate is the most common cause of </w:t>
      </w:r>
      <w:proofErr w:type="spellStart"/>
      <w:r w:rsidRPr="004E09C7">
        <w:rPr>
          <w:rFonts w:ascii="Times New Roman" w:eastAsia="Times New Roman" w:hAnsi="Times New Roman" w:cs="Times New Roman"/>
          <w:szCs w:val="24"/>
          <w:lang w:eastAsia="en-GB"/>
        </w:rPr>
        <w:t>megaloblastic</w:t>
      </w:r>
      <w:proofErr w:type="spellEnd"/>
      <w:r w:rsidRPr="004E09C7">
        <w:rPr>
          <w:rFonts w:ascii="Times New Roman" w:eastAsia="Times New Roman" w:hAnsi="Times New Roman" w:cs="Times New Roman"/>
          <w:szCs w:val="24"/>
          <w:lang w:eastAsia="en-GB"/>
        </w:rPr>
        <w:t xml:space="preserve"> anaemia.</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proofErr w:type="spellStart"/>
      <w:r w:rsidRPr="004E09C7">
        <w:rPr>
          <w:rFonts w:ascii="Times New Roman" w:eastAsia="Times New Roman" w:hAnsi="Times New Roman" w:cs="Times New Roman"/>
          <w:szCs w:val="24"/>
          <w:lang w:eastAsia="en-GB"/>
        </w:rPr>
        <w:t>Megaloblastic</w:t>
      </w:r>
      <w:proofErr w:type="spellEnd"/>
      <w:r w:rsidRPr="004E09C7">
        <w:rPr>
          <w:rFonts w:ascii="Times New Roman" w:eastAsia="Times New Roman" w:hAnsi="Times New Roman" w:cs="Times New Roman"/>
          <w:szCs w:val="24"/>
          <w:lang w:eastAsia="en-GB"/>
        </w:rPr>
        <w:t xml:space="preserve"> anaemia is characterized by larger than normal developing red blood cells in the bone marrow, with immature nuclei due to defective DNA synthesis. This results in larger than normal red blood cells (</w:t>
      </w:r>
      <w:proofErr w:type="spellStart"/>
      <w:r w:rsidRPr="004E09C7">
        <w:rPr>
          <w:rFonts w:ascii="Times New Roman" w:eastAsia="Times New Roman" w:hAnsi="Times New Roman" w:cs="Times New Roman"/>
          <w:szCs w:val="24"/>
          <w:lang w:eastAsia="en-GB"/>
        </w:rPr>
        <w:t>macrocytosis</w:t>
      </w:r>
      <w:proofErr w:type="spellEnd"/>
      <w:r w:rsidRPr="004E09C7">
        <w:rPr>
          <w:rFonts w:ascii="Times New Roman" w:eastAsia="Times New Roman" w:hAnsi="Times New Roman" w:cs="Times New Roman"/>
          <w:szCs w:val="24"/>
          <w:lang w:eastAsia="en-GB"/>
        </w:rPr>
        <w:t>).</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Pernicious anaemia (an autoimmune disorder which results in reduced production of intrinsic factor) is the most common cause of vitamin B12 deficiency in the UK. Other causes of vitamin B12 deficiency are rare, but include:</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Gastric causes (e.g. </w:t>
      </w:r>
      <w:proofErr w:type="spellStart"/>
      <w:r w:rsidRPr="004E09C7">
        <w:rPr>
          <w:rFonts w:ascii="Times New Roman" w:eastAsia="Times New Roman" w:hAnsi="Times New Roman" w:cs="Times New Roman"/>
          <w:szCs w:val="24"/>
          <w:lang w:eastAsia="en-GB"/>
        </w:rPr>
        <w:t>gastrectomy</w:t>
      </w:r>
      <w:proofErr w:type="spellEnd"/>
      <w:r w:rsidRPr="004E09C7">
        <w:rPr>
          <w:rFonts w:ascii="Times New Roman" w:eastAsia="Times New Roman" w:hAnsi="Times New Roman" w:cs="Times New Roman"/>
          <w:szCs w:val="24"/>
          <w:lang w:eastAsia="en-GB"/>
        </w:rPr>
        <w:t>, gastric resection).</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Inadequate dietary intake of vitamin B12 (e.g. vegan diet).</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Intestinal causes (e.g. </w:t>
      </w:r>
      <w:proofErr w:type="spellStart"/>
      <w:r w:rsidRPr="004E09C7">
        <w:rPr>
          <w:rFonts w:ascii="Times New Roman" w:eastAsia="Times New Roman" w:hAnsi="Times New Roman" w:cs="Times New Roman"/>
          <w:szCs w:val="24"/>
          <w:lang w:eastAsia="en-GB"/>
        </w:rPr>
        <w:t>malabsorption</w:t>
      </w:r>
      <w:proofErr w:type="spellEnd"/>
      <w:r w:rsidRPr="004E09C7">
        <w:rPr>
          <w:rFonts w:ascii="Times New Roman" w:eastAsia="Times New Roman" w:hAnsi="Times New Roman" w:cs="Times New Roman"/>
          <w:szCs w:val="24"/>
          <w:lang w:eastAsia="en-GB"/>
        </w:rPr>
        <w:t xml:space="preserve">, </w:t>
      </w:r>
      <w:proofErr w:type="spellStart"/>
      <w:r w:rsidRPr="004E09C7">
        <w:rPr>
          <w:rFonts w:ascii="Times New Roman" w:eastAsia="Times New Roman" w:hAnsi="Times New Roman" w:cs="Times New Roman"/>
          <w:szCs w:val="24"/>
          <w:lang w:eastAsia="en-GB"/>
        </w:rPr>
        <w:t>ileal</w:t>
      </w:r>
      <w:proofErr w:type="spellEnd"/>
      <w:r w:rsidRPr="004E09C7">
        <w:rPr>
          <w:rFonts w:ascii="Times New Roman" w:eastAsia="Times New Roman" w:hAnsi="Times New Roman" w:cs="Times New Roman"/>
          <w:szCs w:val="24"/>
          <w:lang w:eastAsia="en-GB"/>
        </w:rPr>
        <w:t xml:space="preserve"> resection, </w:t>
      </w:r>
      <w:proofErr w:type="spellStart"/>
      <w:r w:rsidRPr="004E09C7">
        <w:rPr>
          <w:rFonts w:ascii="Times New Roman" w:eastAsia="Times New Roman" w:hAnsi="Times New Roman" w:cs="Times New Roman"/>
          <w:szCs w:val="24"/>
          <w:lang w:eastAsia="en-GB"/>
        </w:rPr>
        <w:t>Crohn's</w:t>
      </w:r>
      <w:proofErr w:type="spellEnd"/>
      <w:r w:rsidRPr="004E09C7">
        <w:rPr>
          <w:rFonts w:ascii="Times New Roman" w:eastAsia="Times New Roman" w:hAnsi="Times New Roman" w:cs="Times New Roman"/>
          <w:szCs w:val="24"/>
          <w:lang w:eastAsia="en-GB"/>
        </w:rPr>
        <w:t xml:space="preserve"> disease).</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Drugs (e.g. colchicine, neomycin, metformin, anticonvulsants).</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Folate deficiency can occur for a number of reasons, including:</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Dietary deficiency.</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proofErr w:type="spellStart"/>
      <w:r w:rsidRPr="004E09C7">
        <w:rPr>
          <w:rFonts w:ascii="Times New Roman" w:eastAsia="Times New Roman" w:hAnsi="Times New Roman" w:cs="Times New Roman"/>
          <w:szCs w:val="24"/>
          <w:lang w:eastAsia="en-GB"/>
        </w:rPr>
        <w:t>Malabsorption</w:t>
      </w:r>
      <w:proofErr w:type="spellEnd"/>
      <w:r w:rsidRPr="004E09C7">
        <w:rPr>
          <w:rFonts w:ascii="Times New Roman" w:eastAsia="Times New Roman" w:hAnsi="Times New Roman" w:cs="Times New Roman"/>
          <w:szCs w:val="24"/>
          <w:lang w:eastAsia="en-GB"/>
        </w:rPr>
        <w:t>.</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Excessive requirements:</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Pregnancy, prematurity, and infancy.</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Malignancy (e.g. leukaemia, carcinoma, lymphoma).</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Blood disorders (e.g. haemolytic </w:t>
      </w:r>
      <w:proofErr w:type="spellStart"/>
      <w:r w:rsidRPr="004E09C7">
        <w:rPr>
          <w:rFonts w:ascii="Times New Roman" w:eastAsia="Times New Roman" w:hAnsi="Times New Roman" w:cs="Times New Roman"/>
          <w:szCs w:val="24"/>
          <w:lang w:eastAsia="en-GB"/>
        </w:rPr>
        <w:t>anaemias</w:t>
      </w:r>
      <w:proofErr w:type="spellEnd"/>
      <w:r w:rsidRPr="004E09C7">
        <w:rPr>
          <w:rFonts w:ascii="Times New Roman" w:eastAsia="Times New Roman" w:hAnsi="Times New Roman" w:cs="Times New Roman"/>
          <w:szCs w:val="24"/>
          <w:lang w:eastAsia="en-GB"/>
        </w:rPr>
        <w:t>).</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Inflammation (e.g. tuberculosis, </w:t>
      </w:r>
      <w:proofErr w:type="spellStart"/>
      <w:r w:rsidRPr="004E09C7">
        <w:rPr>
          <w:rFonts w:ascii="Times New Roman" w:eastAsia="Times New Roman" w:hAnsi="Times New Roman" w:cs="Times New Roman"/>
          <w:szCs w:val="24"/>
          <w:lang w:eastAsia="en-GB"/>
        </w:rPr>
        <w:t>Crohn's</w:t>
      </w:r>
      <w:proofErr w:type="spellEnd"/>
      <w:r w:rsidRPr="004E09C7">
        <w:rPr>
          <w:rFonts w:ascii="Times New Roman" w:eastAsia="Times New Roman" w:hAnsi="Times New Roman" w:cs="Times New Roman"/>
          <w:szCs w:val="24"/>
          <w:lang w:eastAsia="en-GB"/>
        </w:rPr>
        <w:t xml:space="preserve"> disease).</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Metabolic causes (e.g. </w:t>
      </w:r>
      <w:proofErr w:type="spellStart"/>
      <w:r w:rsidRPr="004E09C7">
        <w:rPr>
          <w:rFonts w:ascii="Times New Roman" w:eastAsia="Times New Roman" w:hAnsi="Times New Roman" w:cs="Times New Roman"/>
          <w:szCs w:val="24"/>
          <w:lang w:eastAsia="en-GB"/>
        </w:rPr>
        <w:t>homocystinuria</w:t>
      </w:r>
      <w:proofErr w:type="spellEnd"/>
      <w:r w:rsidRPr="004E09C7">
        <w:rPr>
          <w:rFonts w:ascii="Times New Roman" w:eastAsia="Times New Roman" w:hAnsi="Times New Roman" w:cs="Times New Roman"/>
          <w:szCs w:val="24"/>
          <w:lang w:eastAsia="en-GB"/>
        </w:rPr>
        <w:t>).</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Excessive urinary excretion (e.g. chronic dialysis).</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Drugs (e.g. anticonvulsants, </w:t>
      </w:r>
      <w:proofErr w:type="spellStart"/>
      <w:r w:rsidRPr="004E09C7">
        <w:rPr>
          <w:rFonts w:ascii="Times New Roman" w:eastAsia="Times New Roman" w:hAnsi="Times New Roman" w:cs="Times New Roman"/>
          <w:szCs w:val="24"/>
          <w:lang w:eastAsia="en-GB"/>
        </w:rPr>
        <w:t>colestyramine</w:t>
      </w:r>
      <w:proofErr w:type="spellEnd"/>
      <w:r w:rsidRPr="004E09C7">
        <w:rPr>
          <w:rFonts w:ascii="Times New Roman" w:eastAsia="Times New Roman" w:hAnsi="Times New Roman" w:cs="Times New Roman"/>
          <w:szCs w:val="24"/>
          <w:lang w:eastAsia="en-GB"/>
        </w:rPr>
        <w:t xml:space="preserve">, sulfasalazine, </w:t>
      </w:r>
      <w:proofErr w:type="gramStart"/>
      <w:r w:rsidRPr="004E09C7">
        <w:rPr>
          <w:rFonts w:ascii="Times New Roman" w:eastAsia="Times New Roman" w:hAnsi="Times New Roman" w:cs="Times New Roman"/>
          <w:szCs w:val="24"/>
          <w:lang w:eastAsia="en-GB"/>
        </w:rPr>
        <w:t>methotrexate</w:t>
      </w:r>
      <w:proofErr w:type="gramEnd"/>
      <w:r w:rsidRPr="004E09C7">
        <w:rPr>
          <w:rFonts w:ascii="Times New Roman" w:eastAsia="Times New Roman" w:hAnsi="Times New Roman" w:cs="Times New Roman"/>
          <w:szCs w:val="24"/>
          <w:lang w:eastAsia="en-GB"/>
        </w:rPr>
        <w:t>).</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Diagnosis of anaemia caused by vitamin B12 or folate deficiency is made through history, examination, and investigations, including taking a full blood count, blood film, and measuring serum concentrations of vitamin B12 and folate.</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If vitamin B12 deficiency is found, serum anti-intrinsic factor antibodies should be checked.</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If there are strong clinical features of B12 deficiency such as </w:t>
      </w:r>
      <w:proofErr w:type="spellStart"/>
      <w:r w:rsidRPr="004E09C7">
        <w:rPr>
          <w:rFonts w:ascii="Times New Roman" w:eastAsia="Times New Roman" w:hAnsi="Times New Roman" w:cs="Times New Roman"/>
          <w:szCs w:val="24"/>
          <w:lang w:eastAsia="en-GB"/>
        </w:rPr>
        <w:t>megaloblastic</w:t>
      </w:r>
      <w:proofErr w:type="spellEnd"/>
      <w:r w:rsidRPr="004E09C7">
        <w:rPr>
          <w:rFonts w:ascii="Times New Roman" w:eastAsia="Times New Roman" w:hAnsi="Times New Roman" w:cs="Times New Roman"/>
          <w:szCs w:val="24"/>
          <w:lang w:eastAsia="en-GB"/>
        </w:rPr>
        <w:t xml:space="preserve"> anaemia or </w:t>
      </w:r>
      <w:proofErr w:type="spellStart"/>
      <w:r w:rsidRPr="004E09C7">
        <w:rPr>
          <w:rFonts w:ascii="Times New Roman" w:eastAsia="Times New Roman" w:hAnsi="Times New Roman" w:cs="Times New Roman"/>
          <w:szCs w:val="24"/>
          <w:lang w:eastAsia="en-GB"/>
        </w:rPr>
        <w:t>subacute</w:t>
      </w:r>
      <w:proofErr w:type="spellEnd"/>
      <w:r w:rsidRPr="004E09C7">
        <w:rPr>
          <w:rFonts w:ascii="Times New Roman" w:eastAsia="Times New Roman" w:hAnsi="Times New Roman" w:cs="Times New Roman"/>
          <w:szCs w:val="24"/>
          <w:lang w:eastAsia="en-GB"/>
        </w:rPr>
        <w:t xml:space="preserve"> combined degeneration of the cord, despite a normal serum vitamin B12 level, serum anti-intrinsic factor antibodies should also be checked.</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If folate levels are low, and the history suggests </w:t>
      </w:r>
      <w:proofErr w:type="spellStart"/>
      <w:r w:rsidRPr="004E09C7">
        <w:rPr>
          <w:rFonts w:ascii="Times New Roman" w:eastAsia="Times New Roman" w:hAnsi="Times New Roman" w:cs="Times New Roman"/>
          <w:szCs w:val="24"/>
          <w:lang w:eastAsia="en-GB"/>
        </w:rPr>
        <w:t>malabsorption</w:t>
      </w:r>
      <w:proofErr w:type="spellEnd"/>
      <w:r w:rsidRPr="004E09C7">
        <w:rPr>
          <w:rFonts w:ascii="Times New Roman" w:eastAsia="Times New Roman" w:hAnsi="Times New Roman" w:cs="Times New Roman"/>
          <w:szCs w:val="24"/>
          <w:lang w:eastAsia="en-GB"/>
        </w:rPr>
        <w:t>, tests for anti-</w:t>
      </w:r>
      <w:proofErr w:type="spellStart"/>
      <w:r w:rsidRPr="004E09C7">
        <w:rPr>
          <w:rFonts w:ascii="Times New Roman" w:eastAsia="Times New Roman" w:hAnsi="Times New Roman" w:cs="Times New Roman"/>
          <w:szCs w:val="24"/>
          <w:lang w:eastAsia="en-GB"/>
        </w:rPr>
        <w:t>endomysial</w:t>
      </w:r>
      <w:proofErr w:type="spellEnd"/>
      <w:r w:rsidRPr="004E09C7">
        <w:rPr>
          <w:rFonts w:ascii="Times New Roman" w:eastAsia="Times New Roman" w:hAnsi="Times New Roman" w:cs="Times New Roman"/>
          <w:szCs w:val="24"/>
          <w:lang w:eastAsia="en-GB"/>
        </w:rPr>
        <w:t xml:space="preserve"> or anti-</w:t>
      </w:r>
      <w:proofErr w:type="spellStart"/>
      <w:r w:rsidRPr="004E09C7">
        <w:rPr>
          <w:rFonts w:ascii="Times New Roman" w:eastAsia="Times New Roman" w:hAnsi="Times New Roman" w:cs="Times New Roman"/>
          <w:szCs w:val="24"/>
          <w:lang w:eastAsia="en-GB"/>
        </w:rPr>
        <w:t>transglutaminase</w:t>
      </w:r>
      <w:proofErr w:type="spellEnd"/>
      <w:r w:rsidRPr="004E09C7">
        <w:rPr>
          <w:rFonts w:ascii="Times New Roman" w:eastAsia="Times New Roman" w:hAnsi="Times New Roman" w:cs="Times New Roman"/>
          <w:szCs w:val="24"/>
          <w:lang w:eastAsia="en-GB"/>
        </w:rPr>
        <w:t xml:space="preserve"> antibodies should be done (depending on the local laboratory) to check for coeliac disease.</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Treatment of B12 deficiency in people with neurologic involvement includes:</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Seeking urgent specialist advice from a haematologist.</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Management should ideally be guided by a specialist, but if specialist advice is not immediately available, initially treatment with hydroxocobalamin 1 mg intramuscularly on alternate days until there is no further improvement, then hydroxocobalamin 1 mg intramuscularly every 2 months should be considered — where B12 deficiency is </w:t>
      </w:r>
      <w:r w:rsidRPr="004E09C7">
        <w:rPr>
          <w:rFonts w:ascii="Times New Roman" w:eastAsia="Times New Roman" w:hAnsi="Times New Roman" w:cs="Times New Roman"/>
          <w:i/>
          <w:iCs/>
          <w:szCs w:val="24"/>
          <w:lang w:eastAsia="en-GB"/>
        </w:rPr>
        <w:t>not</w:t>
      </w:r>
      <w:r w:rsidRPr="004E09C7">
        <w:rPr>
          <w:rFonts w:ascii="Times New Roman" w:eastAsia="Times New Roman" w:hAnsi="Times New Roman" w:cs="Times New Roman"/>
          <w:szCs w:val="24"/>
          <w:lang w:eastAsia="en-GB"/>
        </w:rPr>
        <w:t xml:space="preserve"> thought to be diet related.</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Treatment of B12 deficiency in people with no neurologic involvement includes:</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Initial treatment with hydroxocobalamin 1 mg intramuscularly on alternate days for 2 weeks.</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Maintenance treatment with hydroxocobalamin 1 mg intramuscularly every 3 months for life — where B12 deficiency is </w:t>
      </w:r>
      <w:r w:rsidRPr="004E09C7">
        <w:rPr>
          <w:rFonts w:ascii="Times New Roman" w:eastAsia="Times New Roman" w:hAnsi="Times New Roman" w:cs="Times New Roman"/>
          <w:i/>
          <w:iCs/>
          <w:szCs w:val="24"/>
          <w:lang w:eastAsia="en-GB"/>
        </w:rPr>
        <w:t>not</w:t>
      </w:r>
      <w:r w:rsidRPr="004E09C7">
        <w:rPr>
          <w:rFonts w:ascii="Times New Roman" w:eastAsia="Times New Roman" w:hAnsi="Times New Roman" w:cs="Times New Roman"/>
          <w:szCs w:val="24"/>
          <w:lang w:eastAsia="en-GB"/>
        </w:rPr>
        <w:t xml:space="preserve"> thought to be diet related, or</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Maintenance treatment with oral </w:t>
      </w:r>
      <w:proofErr w:type="spellStart"/>
      <w:r w:rsidRPr="004E09C7">
        <w:rPr>
          <w:rFonts w:ascii="Times New Roman" w:eastAsia="Times New Roman" w:hAnsi="Times New Roman" w:cs="Times New Roman"/>
          <w:szCs w:val="24"/>
          <w:lang w:eastAsia="en-GB"/>
        </w:rPr>
        <w:t>cyanocobalamin</w:t>
      </w:r>
      <w:proofErr w:type="spellEnd"/>
      <w:r w:rsidRPr="004E09C7">
        <w:rPr>
          <w:rFonts w:ascii="Times New Roman" w:eastAsia="Times New Roman" w:hAnsi="Times New Roman" w:cs="Times New Roman"/>
          <w:szCs w:val="24"/>
          <w:lang w:eastAsia="en-GB"/>
        </w:rPr>
        <w:t xml:space="preserve"> tablets or a twice-yearly hydroxocobalamin 1 mg injection — where vitamin B12 deficiency is thought to be diet related.</w:t>
      </w:r>
    </w:p>
    <w:p w:rsidR="004E09C7" w:rsidRPr="004E09C7" w:rsidRDefault="004E09C7" w:rsidP="004E09C7">
      <w:pPr>
        <w:numPr>
          <w:ilvl w:val="0"/>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Treatment of folate deficiency includes:</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Oral folic acid 5 mg daily. In most people, treatment will be required for 4 months. Folic acid may need to be taken longer term (sometimes for life) if the underlying cause of deficiency is persistent.</w:t>
      </w:r>
    </w:p>
    <w:p w:rsidR="004E09C7" w:rsidRPr="004E09C7" w:rsidRDefault="004E09C7" w:rsidP="004E09C7">
      <w:pPr>
        <w:numPr>
          <w:ilvl w:val="1"/>
          <w:numId w:val="15"/>
        </w:numPr>
        <w:spacing w:before="100" w:beforeAutospacing="1" w:after="100" w:afterAutospacing="1"/>
        <w:rPr>
          <w:rFonts w:ascii="Times New Roman" w:eastAsia="Times New Roman" w:hAnsi="Times New Roman" w:cs="Times New Roman"/>
          <w:szCs w:val="24"/>
          <w:lang w:eastAsia="en-GB"/>
        </w:rPr>
      </w:pPr>
      <w:r w:rsidRPr="004E09C7">
        <w:rPr>
          <w:rFonts w:ascii="Times New Roman" w:eastAsia="Times New Roman" w:hAnsi="Times New Roman" w:cs="Times New Roman"/>
          <w:szCs w:val="24"/>
          <w:lang w:eastAsia="en-GB"/>
        </w:rPr>
        <w:t xml:space="preserve">Dietary advice. Good sources of folate are broccoli, </w:t>
      </w:r>
      <w:proofErr w:type="spellStart"/>
      <w:proofErr w:type="gramStart"/>
      <w:r w:rsidRPr="004E09C7">
        <w:rPr>
          <w:rFonts w:ascii="Times New Roman" w:eastAsia="Times New Roman" w:hAnsi="Times New Roman" w:cs="Times New Roman"/>
          <w:szCs w:val="24"/>
          <w:lang w:eastAsia="en-GB"/>
        </w:rPr>
        <w:t>brussels</w:t>
      </w:r>
      <w:proofErr w:type="spellEnd"/>
      <w:proofErr w:type="gramEnd"/>
      <w:r w:rsidRPr="004E09C7">
        <w:rPr>
          <w:rFonts w:ascii="Times New Roman" w:eastAsia="Times New Roman" w:hAnsi="Times New Roman" w:cs="Times New Roman"/>
          <w:szCs w:val="24"/>
          <w:lang w:eastAsia="en-GB"/>
        </w:rPr>
        <w:t xml:space="preserve"> sprouts, asparagus, peas, chickpeas, and brown rice.</w:t>
      </w:r>
    </w:p>
    <w:p w:rsidR="004E09C7" w:rsidRPr="00197AB5" w:rsidRDefault="004E09C7" w:rsidP="004E09C7">
      <w:pPr>
        <w:spacing w:before="100" w:beforeAutospacing="1" w:after="100" w:afterAutospacing="1" w:line="360" w:lineRule="atLeast"/>
        <w:rPr>
          <w:rFonts w:ascii="Helvetica" w:eastAsia="Times New Roman" w:hAnsi="Helvetica" w:cs="Helvetica"/>
          <w:color w:val="374248"/>
          <w:szCs w:val="24"/>
          <w:lang w:eastAsia="en-GB"/>
        </w:rPr>
      </w:pPr>
    </w:p>
    <w:p w:rsidR="00D739A3" w:rsidRDefault="00D739A3"/>
    <w:sectPr w:rsidR="00D7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multilevel"/>
    <w:tmpl w:val="367E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7580F"/>
    <w:multiLevelType w:val="multilevel"/>
    <w:tmpl w:val="21CCF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73ABB"/>
    <w:multiLevelType w:val="multilevel"/>
    <w:tmpl w:val="CB0E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650D"/>
    <w:multiLevelType w:val="multilevel"/>
    <w:tmpl w:val="BC94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B58E9"/>
    <w:multiLevelType w:val="multilevel"/>
    <w:tmpl w:val="3C02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E38D4"/>
    <w:multiLevelType w:val="multilevel"/>
    <w:tmpl w:val="9A3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4C5C7E"/>
    <w:multiLevelType w:val="multilevel"/>
    <w:tmpl w:val="4CA4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73696"/>
    <w:multiLevelType w:val="multilevel"/>
    <w:tmpl w:val="AD30A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1791A"/>
    <w:multiLevelType w:val="multilevel"/>
    <w:tmpl w:val="3780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5193F"/>
    <w:multiLevelType w:val="multilevel"/>
    <w:tmpl w:val="974CC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A66EFB"/>
    <w:multiLevelType w:val="multilevel"/>
    <w:tmpl w:val="DF1E2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6F350E"/>
    <w:multiLevelType w:val="multilevel"/>
    <w:tmpl w:val="26CC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7D340E"/>
    <w:multiLevelType w:val="multilevel"/>
    <w:tmpl w:val="7E226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47E78"/>
    <w:multiLevelType w:val="multilevel"/>
    <w:tmpl w:val="2DAC8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4D133E"/>
    <w:multiLevelType w:val="multilevel"/>
    <w:tmpl w:val="CDFE1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13"/>
  </w:num>
  <w:num w:numId="5">
    <w:abstractNumId w:val="3"/>
  </w:num>
  <w:num w:numId="6">
    <w:abstractNumId w:val="8"/>
  </w:num>
  <w:num w:numId="7">
    <w:abstractNumId w:val="4"/>
  </w:num>
  <w:num w:numId="8">
    <w:abstractNumId w:val="9"/>
  </w:num>
  <w:num w:numId="9">
    <w:abstractNumId w:val="2"/>
  </w:num>
  <w:num w:numId="10">
    <w:abstractNumId w:val="14"/>
  </w:num>
  <w:num w:numId="11">
    <w:abstractNumId w:val="6"/>
  </w:num>
  <w:num w:numId="12">
    <w:abstractNumId w:val="7"/>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B5"/>
    <w:rsid w:val="000B69C0"/>
    <w:rsid w:val="00197AB5"/>
    <w:rsid w:val="004E09C7"/>
    <w:rsid w:val="007B0E3C"/>
    <w:rsid w:val="00912A94"/>
    <w:rsid w:val="00C57978"/>
    <w:rsid w:val="00D739A3"/>
    <w:rsid w:val="00E54C8E"/>
    <w:rsid w:val="00F3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4C"/>
    <w:pPr>
      <w:spacing w:after="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9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4C"/>
    <w:pPr>
      <w:spacing w:after="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9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03974">
      <w:bodyDiv w:val="1"/>
      <w:marLeft w:val="0"/>
      <w:marRight w:val="0"/>
      <w:marTop w:val="0"/>
      <w:marBottom w:val="0"/>
      <w:divBdr>
        <w:top w:val="none" w:sz="0" w:space="0" w:color="auto"/>
        <w:left w:val="none" w:sz="0" w:space="0" w:color="auto"/>
        <w:bottom w:val="none" w:sz="0" w:space="0" w:color="auto"/>
        <w:right w:val="none" w:sz="0" w:space="0" w:color="auto"/>
      </w:divBdr>
    </w:div>
    <w:div w:id="1136604707">
      <w:bodyDiv w:val="1"/>
      <w:marLeft w:val="0"/>
      <w:marRight w:val="0"/>
      <w:marTop w:val="0"/>
      <w:marBottom w:val="0"/>
      <w:divBdr>
        <w:top w:val="none" w:sz="0" w:space="0" w:color="auto"/>
        <w:left w:val="none" w:sz="0" w:space="0" w:color="auto"/>
        <w:bottom w:val="none" w:sz="0" w:space="0" w:color="auto"/>
        <w:right w:val="none" w:sz="0" w:space="0" w:color="auto"/>
      </w:divBdr>
      <w:divsChild>
        <w:div w:id="1640458552">
          <w:marLeft w:val="0"/>
          <w:marRight w:val="0"/>
          <w:marTop w:val="0"/>
          <w:marBottom w:val="0"/>
          <w:divBdr>
            <w:top w:val="none" w:sz="0" w:space="0" w:color="auto"/>
            <w:left w:val="none" w:sz="0" w:space="0" w:color="auto"/>
            <w:bottom w:val="none" w:sz="0" w:space="0" w:color="auto"/>
            <w:right w:val="none" w:sz="0" w:space="0" w:color="auto"/>
          </w:divBdr>
          <w:divsChild>
            <w:div w:id="2008558968">
              <w:marLeft w:val="0"/>
              <w:marRight w:val="0"/>
              <w:marTop w:val="0"/>
              <w:marBottom w:val="0"/>
              <w:divBdr>
                <w:top w:val="none" w:sz="0" w:space="0" w:color="auto"/>
                <w:left w:val="none" w:sz="0" w:space="0" w:color="auto"/>
                <w:bottom w:val="none" w:sz="0" w:space="0" w:color="auto"/>
                <w:right w:val="none" w:sz="0" w:space="0" w:color="auto"/>
              </w:divBdr>
              <w:divsChild>
                <w:div w:id="3198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ks.nice.org.uk/anaemia-b12-and-folate-deficiency" TargetMode="External"/><Relationship Id="rId18" Type="http://schemas.openxmlformats.org/officeDocument/2006/relationships/hyperlink" Target="http://cks.nice.org.uk/anaemia-b12-and-folate-deficiency" TargetMode="External"/><Relationship Id="rId26" Type="http://schemas.openxmlformats.org/officeDocument/2006/relationships/hyperlink" Target="http://cks.nice.org.uk/anaemia-b12-and-folate-deficiency" TargetMode="External"/><Relationship Id="rId39" Type="http://schemas.openxmlformats.org/officeDocument/2006/relationships/hyperlink" Target="http://cks.nice.org.uk/anaemia-b12-and-folate-deficiency" TargetMode="External"/><Relationship Id="rId21" Type="http://schemas.openxmlformats.org/officeDocument/2006/relationships/hyperlink" Target="http://cks.nice.org.uk/anaemia-b12-and-folate-deficiency" TargetMode="External"/><Relationship Id="rId34" Type="http://schemas.openxmlformats.org/officeDocument/2006/relationships/hyperlink" Target="http://cks.nice.org.uk/anaemia-b12-and-folate-deficiency" TargetMode="External"/><Relationship Id="rId42" Type="http://schemas.openxmlformats.org/officeDocument/2006/relationships/hyperlink" Target="http://cks.nice.org.uk/pre-conception-advice-and-management" TargetMode="External"/><Relationship Id="rId47" Type="http://schemas.openxmlformats.org/officeDocument/2006/relationships/hyperlink" Target="http://cks.nice.org.uk/anaemia-b12-and-folate-deficiency" TargetMode="External"/><Relationship Id="rId50" Type="http://schemas.openxmlformats.org/officeDocument/2006/relationships/hyperlink" Target="http://cks.nice.org.uk/anaemia-b12-and-folate-deficiency" TargetMode="External"/><Relationship Id="rId55" Type="http://schemas.openxmlformats.org/officeDocument/2006/relationships/hyperlink" Target="http://cks.nice.org.uk/anaemia-b12-and-folate-deficiency" TargetMode="External"/><Relationship Id="rId7" Type="http://schemas.openxmlformats.org/officeDocument/2006/relationships/hyperlink" Target="http://cks.nice.org.uk/anaemia-b12-and-folate-deficiency" TargetMode="External"/><Relationship Id="rId12" Type="http://schemas.openxmlformats.org/officeDocument/2006/relationships/hyperlink" Target="http://cks.nice.org.uk/anaemia-b12-and-folate-deficiency" TargetMode="External"/><Relationship Id="rId17" Type="http://schemas.openxmlformats.org/officeDocument/2006/relationships/hyperlink" Target="http://cks.nice.org.uk/anaemia-b12-and-folate-deficiency" TargetMode="External"/><Relationship Id="rId25" Type="http://schemas.openxmlformats.org/officeDocument/2006/relationships/hyperlink" Target="http://cks.nice.org.uk/anaemia-b12-and-folate-deficiency" TargetMode="External"/><Relationship Id="rId33" Type="http://schemas.openxmlformats.org/officeDocument/2006/relationships/hyperlink" Target="http://cks.nice.org.uk/anaemia-b12-and-folate-deficiency" TargetMode="External"/><Relationship Id="rId38" Type="http://schemas.openxmlformats.org/officeDocument/2006/relationships/hyperlink" Target="http://cks.nice.org.uk/anaemia-b12-and-folate-deficiency" TargetMode="External"/><Relationship Id="rId46" Type="http://schemas.openxmlformats.org/officeDocument/2006/relationships/hyperlink" Target="http://cks.nice.org.uk/anaemia-b12-and-folate-deficiency"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ks.nice.org.uk/anaemia-b12-and-folate-deficiency" TargetMode="External"/><Relationship Id="rId20" Type="http://schemas.openxmlformats.org/officeDocument/2006/relationships/hyperlink" Target="http://cks.nice.org.uk/anaemia-b12-and-folate-deficiency" TargetMode="External"/><Relationship Id="rId29" Type="http://schemas.openxmlformats.org/officeDocument/2006/relationships/hyperlink" Target="http://cks.nice.org.uk/anaemia-b12-and-folate-deficiency" TargetMode="External"/><Relationship Id="rId41" Type="http://schemas.openxmlformats.org/officeDocument/2006/relationships/hyperlink" Target="http://cks.nice.org.uk/anaemia-b12-and-folate-deficiency" TargetMode="External"/><Relationship Id="rId54" Type="http://schemas.openxmlformats.org/officeDocument/2006/relationships/hyperlink" Target="http://cks.nice.org.uk/anaemia-b12-and-folate-deficiency" TargetMode="External"/><Relationship Id="rId1" Type="http://schemas.openxmlformats.org/officeDocument/2006/relationships/numbering" Target="numbering.xml"/><Relationship Id="rId6" Type="http://schemas.openxmlformats.org/officeDocument/2006/relationships/hyperlink" Target="http://cks.nice.org.uk/anaemia-b12-and-folate-deficiency" TargetMode="External"/><Relationship Id="rId11" Type="http://schemas.openxmlformats.org/officeDocument/2006/relationships/hyperlink" Target="http://cks.nice.org.uk/anaemia-b12-and-folate-deficiency" TargetMode="External"/><Relationship Id="rId24" Type="http://schemas.openxmlformats.org/officeDocument/2006/relationships/hyperlink" Target="http://cks.nice.org.uk/anaemia-b12-and-folate-deficiency" TargetMode="External"/><Relationship Id="rId32" Type="http://schemas.openxmlformats.org/officeDocument/2006/relationships/hyperlink" Target="http://cks.nice.org.uk/anaemia-b12-and-folate-deficiency" TargetMode="External"/><Relationship Id="rId37" Type="http://schemas.openxmlformats.org/officeDocument/2006/relationships/hyperlink" Target="http://cks.nice.org.uk/anaemia-b12-and-folate-deficiency" TargetMode="External"/><Relationship Id="rId40" Type="http://schemas.openxmlformats.org/officeDocument/2006/relationships/hyperlink" Target="http://cks.nice.org.uk/anaemia-b12-and-folate-deficiency" TargetMode="External"/><Relationship Id="rId45" Type="http://schemas.openxmlformats.org/officeDocument/2006/relationships/hyperlink" Target="http://cks.nice.org.uk/anaemia-b12-and-folate-deficiency" TargetMode="External"/><Relationship Id="rId53" Type="http://schemas.openxmlformats.org/officeDocument/2006/relationships/hyperlink" Target="http://cks.nice.org.uk/anaemia-b12-and-folate-deficiency"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ks.nice.org.uk/anaemia-b12-and-folate-deficiency" TargetMode="External"/><Relationship Id="rId23" Type="http://schemas.openxmlformats.org/officeDocument/2006/relationships/hyperlink" Target="http://cks.nice.org.uk/anaemia-b12-and-folate-deficiency" TargetMode="External"/><Relationship Id="rId28" Type="http://schemas.openxmlformats.org/officeDocument/2006/relationships/hyperlink" Target="http://cks.nice.org.uk/anaemia-b12-and-folate-deficiency" TargetMode="External"/><Relationship Id="rId36" Type="http://schemas.openxmlformats.org/officeDocument/2006/relationships/hyperlink" Target="http://cks.nice.org.uk/anaemia-b12-and-folate-deficiency" TargetMode="External"/><Relationship Id="rId49" Type="http://schemas.openxmlformats.org/officeDocument/2006/relationships/hyperlink" Target="http://cks.nice.org.uk/anaemia-b12-and-folate-deficiency" TargetMode="External"/><Relationship Id="rId57" Type="http://schemas.openxmlformats.org/officeDocument/2006/relationships/hyperlink" Target="http://cks.nice.org.uk/anaemia-b12-and-folate-deficiency" TargetMode="External"/><Relationship Id="rId10" Type="http://schemas.openxmlformats.org/officeDocument/2006/relationships/hyperlink" Target="http://cks.nice.org.uk/anaemia-b12-and-folate-deficiency" TargetMode="External"/><Relationship Id="rId19" Type="http://schemas.openxmlformats.org/officeDocument/2006/relationships/hyperlink" Target="http://cks.nice.org.uk/anaemia-b12-and-folate-deficiency" TargetMode="External"/><Relationship Id="rId31" Type="http://schemas.openxmlformats.org/officeDocument/2006/relationships/hyperlink" Target="http://cks.nice.org.uk/anaemia-b12-and-folate-deficiency" TargetMode="External"/><Relationship Id="rId44" Type="http://schemas.openxmlformats.org/officeDocument/2006/relationships/hyperlink" Target="http://cks.nice.org.uk/anaemia-b12-and-folate-deficiency" TargetMode="External"/><Relationship Id="rId52" Type="http://schemas.openxmlformats.org/officeDocument/2006/relationships/hyperlink" Target="http://cks.nice.org.uk/anaemia-b12-and-folate-deficiency" TargetMode="External"/><Relationship Id="rId4" Type="http://schemas.openxmlformats.org/officeDocument/2006/relationships/settings" Target="settings.xml"/><Relationship Id="rId9" Type="http://schemas.openxmlformats.org/officeDocument/2006/relationships/hyperlink" Target="http://cks.nice.org.uk/anaemia-b12-and-folate-deficiency" TargetMode="External"/><Relationship Id="rId14" Type="http://schemas.openxmlformats.org/officeDocument/2006/relationships/hyperlink" Target="http://cks.nice.org.uk/anaemia-b12-and-folate-deficiency" TargetMode="External"/><Relationship Id="rId22" Type="http://schemas.openxmlformats.org/officeDocument/2006/relationships/hyperlink" Target="http://cks.nice.org.uk/anaemia-b12-and-folate-deficiency" TargetMode="External"/><Relationship Id="rId27" Type="http://schemas.openxmlformats.org/officeDocument/2006/relationships/hyperlink" Target="http://cks.nice.org.uk/anaemia-b12-and-folate-deficiency" TargetMode="External"/><Relationship Id="rId30" Type="http://schemas.openxmlformats.org/officeDocument/2006/relationships/hyperlink" Target="http://cks.nice.org.uk/anaemia-b12-and-folate-deficiency" TargetMode="External"/><Relationship Id="rId35" Type="http://schemas.openxmlformats.org/officeDocument/2006/relationships/hyperlink" Target="http://cks.nice.org.uk/anaemia-b12-and-folate-deficiency" TargetMode="External"/><Relationship Id="rId43" Type="http://schemas.openxmlformats.org/officeDocument/2006/relationships/hyperlink" Target="http://cks.nice.org.uk/anaemia-b12-and-folate-deficiency" TargetMode="External"/><Relationship Id="rId48" Type="http://schemas.openxmlformats.org/officeDocument/2006/relationships/hyperlink" Target="http://cks.nice.org.uk/anaemia-b12-and-folate-deficiency" TargetMode="External"/><Relationship Id="rId56" Type="http://schemas.openxmlformats.org/officeDocument/2006/relationships/hyperlink" Target="http://cks.nice.org.uk/anaemia-b12-and-folate-deficiency" TargetMode="External"/><Relationship Id="rId8" Type="http://schemas.openxmlformats.org/officeDocument/2006/relationships/hyperlink" Target="http://cks.nice.org.uk/anaemia-b12-and-folate-deficiency" TargetMode="External"/><Relationship Id="rId51" Type="http://schemas.openxmlformats.org/officeDocument/2006/relationships/hyperlink" Target="http://cks.nice.org.uk/anaemia-b12-and-folate-deficiency"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Hollis</dc:creator>
  <cp:lastModifiedBy>Frank Hollis</cp:lastModifiedBy>
  <cp:revision>5</cp:revision>
  <cp:lastPrinted>2015-10-24T14:20:00Z</cp:lastPrinted>
  <dcterms:created xsi:type="dcterms:W3CDTF">2015-08-13T17:57:00Z</dcterms:created>
  <dcterms:modified xsi:type="dcterms:W3CDTF">2015-10-24T18:05:00Z</dcterms:modified>
</cp:coreProperties>
</file>